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80"/>
        </w:tabs>
        <w:adjustRightInd w:val="0"/>
        <w:snapToGrid w:val="0"/>
        <w:spacing w:before="0" w:beforeAutospacing="0" w:after="0" w:afterAutospacing="0" w:line="578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5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境领域能力验证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水中挥发酚类（挥发酚）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的测定”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3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134"/>
        <w:gridCol w:w="851"/>
        <w:gridCol w:w="605"/>
        <w:gridCol w:w="851"/>
        <w:gridCol w:w="937"/>
        <w:gridCol w:w="1640"/>
        <w:gridCol w:w="3738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邮箱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（通过划√，未通过划x）</w:t>
            </w:r>
          </w:p>
        </w:tc>
        <w:tc>
          <w:tcPr>
            <w:tcW w:w="8074" w:type="dxa"/>
            <w:gridSpan w:val="2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水中挥发酚类（挥发酚）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</w:rPr>
              <w:t>的测定</w:t>
            </w:r>
          </w:p>
        </w:tc>
        <w:tc>
          <w:tcPr>
            <w:tcW w:w="3738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HJ 503-2009 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《水质挥发酚的测定 4-氨基安替比林分光光度法》</w:t>
            </w:r>
          </w:p>
        </w:tc>
        <w:tc>
          <w:tcPr>
            <w:tcW w:w="4336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GB/T 5750.4-2006 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《生活饮用水标准检验方法 感官性状和物理指标 9.1 4-氨基安替吡啉三氯甲烷萃取分光光度法》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33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38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4336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pStyle w:val="2"/>
        <w:tabs>
          <w:tab w:val="left" w:pos="7380"/>
        </w:tabs>
        <w:adjustRightInd w:val="0"/>
        <w:snapToGrid w:val="0"/>
        <w:spacing w:before="0" w:beforeAutospacing="0" w:after="0" w:afterAutospacing="0" w:line="578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sectPr>
          <w:pgSz w:w="16838" w:h="11906" w:orient="landscape"/>
          <w:pgMar w:top="1689" w:right="1440" w:bottom="1800" w:left="1383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5CC5DB2"/>
    <w:rsid w:val="35CC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215</Characters>
  <Lines>0</Lines>
  <Paragraphs>0</Paragraphs>
  <TotalTime>0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2023-07-19T09:16:00Z</dcterms:created>
  <dc:creator>小杜儿～</dc:creator>
  <cp:lastModifiedBy>小杜儿～</cp:lastModifiedBy>
  <dcterms:modified xsi:type="dcterms:W3CDTF">2023-07-19T09:16:23Z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B02D4D3C8C4940FBBF2D5D2E9FE78E44_11</vt:lpwstr>
  </property>
</Properties>
</file>