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1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食品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能力验证“橙汁中糖精钠的测定”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2"/>
        <w:tblW w:w="13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50"/>
        <w:gridCol w:w="993"/>
        <w:gridCol w:w="1128"/>
        <w:gridCol w:w="1107"/>
        <w:gridCol w:w="973"/>
        <w:gridCol w:w="1400"/>
        <w:gridCol w:w="3180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地址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（通过划√，未通过划x）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橙汁中糖精钠的测定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widowControl/>
              <w:tabs>
                <w:tab w:val="left" w:pos="2980"/>
              </w:tabs>
              <w:snapToGrid w:val="0"/>
              <w:jc w:val="center"/>
              <w:rPr>
                <w:rFonts w:hint="eastAsia" w:eastAsia="黑体" w:cs="Times New Roman"/>
                <w:sz w:val="24"/>
                <w:lang w:eastAsia="zh-CN"/>
              </w:rPr>
            </w:pPr>
            <w:r>
              <w:rPr>
                <w:rFonts w:hint="eastAsia" w:eastAsia="黑体" w:cs="Times New Roman"/>
                <w:sz w:val="24"/>
                <w:lang w:eastAsia="zh-CN"/>
              </w:rPr>
              <w:t>GB 5009.28-2016</w:t>
            </w:r>
          </w:p>
          <w:p>
            <w:pPr>
              <w:widowControl/>
              <w:tabs>
                <w:tab w:val="left" w:pos="2980"/>
              </w:tabs>
              <w:snapToGrid w:val="0"/>
              <w:jc w:val="center"/>
              <w:rPr>
                <w:rFonts w:hint="default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《食品安全国家标准 食品中苯甲酸、山梨酸和糖精钠的测定》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6AD21600"/>
    <w:rsid w:val="6AD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154</Characters>
  <Lines>0</Lines>
  <Paragraphs>0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2023-07-19T09:14:00Z</dcterms:created>
  <dc:creator>小杜儿～</dc:creator>
  <cp:lastModifiedBy>小杜儿～</cp:lastModifiedBy>
  <dcterms:modified xsi:type="dcterms:W3CDTF">2023-07-19T09:15:14Z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221373025A814C9B936497B928184CC6_11</vt:lpwstr>
  </property>
</Properties>
</file>