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北京市学科类校外培训机构预付式消费管理细则</w:t>
      </w:r>
    </w:p>
    <w:p>
      <w:pPr>
        <w:spacing w:line="560" w:lineRule="exact"/>
        <w:ind w:firstLine="3420" w:firstLineChars="950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(征求意见稿)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第一条（目的依据）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为维护本市面向中小学生学科类校外培训机构的市场秩序，促进公平竞争，保护培训机构和消费者的合法权益，依据《中华人民共和国合同法》《中华人民共和国民办教育促进法》等法律法规以及国家规范校外培训机构规范性文件的有关规定，制定本细则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第二条（适用范围）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本细则适用于国家机构以外的社会</w:t>
      </w:r>
      <w:r>
        <w:rPr>
          <w:rFonts w:ascii="仿宋" w:hAnsi="仿宋" w:eastAsia="仿宋"/>
          <w:color w:val="000000" w:themeColor="text1"/>
          <w:sz w:val="32"/>
          <w:szCs w:val="32"/>
        </w:rPr>
        <w:t>组织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和个人，利用非国家财政性经费举办的，经教育行政</w:t>
      </w:r>
      <w:r>
        <w:rPr>
          <w:rFonts w:ascii="仿宋" w:hAnsi="仿宋" w:eastAsia="仿宋"/>
          <w:color w:val="000000" w:themeColor="text1"/>
          <w:sz w:val="32"/>
          <w:szCs w:val="32"/>
        </w:rPr>
        <w:t>部门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审批或备案</w:t>
      </w:r>
      <w:r>
        <w:rPr>
          <w:rFonts w:ascii="仿宋" w:hAnsi="仿宋" w:eastAsia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，面向中小学生实施的学科类校外线上、线下培训机构。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预付式消费是指本市学科类校外培训机构</w:t>
      </w:r>
      <w:r>
        <w:rPr>
          <w:rFonts w:ascii="仿宋" w:hAnsi="仿宋" w:eastAsia="仿宋"/>
          <w:sz w:val="32"/>
          <w:szCs w:val="32"/>
        </w:rPr>
        <w:t>采取</w:t>
      </w:r>
      <w:r>
        <w:rPr>
          <w:rFonts w:hint="eastAsia" w:ascii="仿宋" w:hAnsi="仿宋" w:eastAsia="仿宋"/>
          <w:sz w:val="32"/>
          <w:szCs w:val="32"/>
        </w:rPr>
        <w:t>先交费、</w:t>
      </w:r>
      <w:r>
        <w:rPr>
          <w:rFonts w:ascii="仿宋" w:hAnsi="仿宋" w:eastAsia="仿宋"/>
          <w:sz w:val="32"/>
          <w:szCs w:val="32"/>
        </w:rPr>
        <w:t>后服务</w:t>
      </w:r>
      <w:r>
        <w:rPr>
          <w:rFonts w:hint="eastAsia" w:ascii="仿宋" w:hAnsi="仿宋" w:eastAsia="仿宋"/>
          <w:sz w:val="32"/>
          <w:szCs w:val="32"/>
        </w:rPr>
        <w:t>的经营模式，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提前向消费者收取与培训相关的费用。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第三条（基本原则）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培训机构</w:t>
      </w:r>
      <w:r>
        <w:rPr>
          <w:rFonts w:ascii="仿宋" w:hAnsi="仿宋" w:eastAsia="仿宋"/>
          <w:color w:val="000000" w:themeColor="text1"/>
          <w:sz w:val="32"/>
          <w:szCs w:val="32"/>
        </w:rPr>
        <w:t>与消费者遵循自愿平等、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公平契约</w:t>
      </w:r>
      <w:r>
        <w:rPr>
          <w:rFonts w:ascii="仿宋" w:hAnsi="仿宋" w:eastAsia="仿宋"/>
          <w:color w:val="000000" w:themeColor="text1"/>
          <w:sz w:val="32"/>
          <w:szCs w:val="32"/>
        </w:rPr>
        <w:t>、诚实守信的原则进行交易。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第四条</w:t>
      </w:r>
      <w:r>
        <w:rPr>
          <w:rFonts w:ascii="黑体" w:hAnsi="黑体" w:eastAsia="黑体"/>
          <w:color w:val="000000" w:themeColor="text1"/>
          <w:sz w:val="32"/>
          <w:szCs w:val="32"/>
        </w:rPr>
        <w:t>（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收费原则</w:t>
      </w:r>
      <w:r>
        <w:rPr>
          <w:rFonts w:ascii="黑体" w:hAnsi="黑体" w:eastAsia="黑体"/>
          <w:color w:val="000000" w:themeColor="text1"/>
          <w:sz w:val="32"/>
          <w:szCs w:val="32"/>
        </w:rPr>
        <w:t>）</w:t>
      </w:r>
      <w:r>
        <w:rPr>
          <w:rFonts w:ascii="仿宋" w:hAnsi="仿宋" w:eastAsia="仿宋"/>
          <w:color w:val="000000" w:themeColor="text1"/>
          <w:sz w:val="32"/>
          <w:szCs w:val="32"/>
        </w:rPr>
        <w:t>收费实行市场调节价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。收费项目</w:t>
      </w:r>
      <w:r>
        <w:rPr>
          <w:rFonts w:ascii="仿宋" w:hAnsi="仿宋" w:eastAsia="仿宋"/>
          <w:color w:val="000000" w:themeColor="text1"/>
          <w:sz w:val="32"/>
          <w:szCs w:val="32"/>
        </w:rPr>
        <w:t>与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标准应于招生前30天在办学场所、网站等显著位置进行公示。收费时段与教学安排应协调一致。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第五</w:t>
      </w:r>
      <w:r>
        <w:rPr>
          <w:rFonts w:ascii="黑体" w:hAnsi="黑体" w:eastAsia="黑体"/>
          <w:color w:val="000000" w:themeColor="text1"/>
          <w:sz w:val="32"/>
          <w:szCs w:val="32"/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（消费凭证）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培训机构</w:t>
      </w:r>
      <w:r>
        <w:rPr>
          <w:rFonts w:ascii="仿宋" w:hAnsi="仿宋" w:eastAsia="仿宋"/>
          <w:color w:val="000000" w:themeColor="text1"/>
          <w:sz w:val="32"/>
          <w:szCs w:val="32"/>
        </w:rPr>
        <w:t>提供服务，应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当</w:t>
      </w:r>
      <w:r>
        <w:rPr>
          <w:rFonts w:ascii="仿宋" w:hAnsi="仿宋" w:eastAsia="仿宋"/>
          <w:color w:val="000000" w:themeColor="text1"/>
          <w:sz w:val="32"/>
          <w:szCs w:val="32"/>
        </w:rPr>
        <w:t>按照国家有关规定向消费者出具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正式发票。消费者索要发票、消费凭证或服务单据的，培训机构必须提供。</w:t>
      </w:r>
    </w:p>
    <w:p>
      <w:pPr>
        <w:spacing w:line="560" w:lineRule="exact"/>
        <w:ind w:firstLine="640" w:firstLineChars="200"/>
        <w:rPr>
          <w:rFonts w:ascii="楷体" w:hAnsi="楷体" w:eastAsia="楷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第六条</w:t>
      </w:r>
      <w:r>
        <w:rPr>
          <w:rFonts w:ascii="黑体" w:hAnsi="黑体" w:eastAsia="黑体"/>
          <w:color w:val="000000" w:themeColor="text1"/>
          <w:sz w:val="32"/>
          <w:szCs w:val="32"/>
        </w:rPr>
        <w:t>（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服务合同</w:t>
      </w:r>
      <w:r>
        <w:rPr>
          <w:rFonts w:ascii="黑体" w:hAnsi="黑体" w:eastAsia="黑体"/>
          <w:color w:val="000000" w:themeColor="text1"/>
          <w:sz w:val="32"/>
          <w:szCs w:val="32"/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培训机构</w:t>
      </w:r>
      <w:r>
        <w:rPr>
          <w:rFonts w:ascii="仿宋" w:hAnsi="仿宋" w:eastAsia="仿宋"/>
          <w:color w:val="000000" w:themeColor="text1"/>
          <w:sz w:val="32"/>
          <w:szCs w:val="32"/>
        </w:rPr>
        <w:t>与消费者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须</w:t>
      </w:r>
      <w:r>
        <w:rPr>
          <w:rFonts w:ascii="仿宋" w:hAnsi="仿宋" w:eastAsia="仿宋"/>
          <w:color w:val="000000" w:themeColor="text1"/>
          <w:sz w:val="32"/>
          <w:szCs w:val="32"/>
        </w:rPr>
        <w:t>签订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书面（含</w:t>
      </w:r>
      <w:r>
        <w:rPr>
          <w:rFonts w:ascii="仿宋" w:hAnsi="仿宋" w:eastAsia="仿宋"/>
          <w:color w:val="000000" w:themeColor="text1"/>
          <w:sz w:val="32"/>
          <w:szCs w:val="32"/>
        </w:rPr>
        <w:t>电子信息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）的服务合同</w:t>
      </w:r>
      <w:r>
        <w:rPr>
          <w:rFonts w:ascii="仿宋" w:hAnsi="仿宋" w:eastAsia="仿宋"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服务合同应符合监管规定，合法有效，合同内容包括收费</w:t>
      </w:r>
      <w:r>
        <w:rPr>
          <w:rFonts w:ascii="仿宋" w:hAnsi="仿宋" w:eastAsia="仿宋"/>
          <w:color w:val="000000" w:themeColor="text1"/>
          <w:sz w:val="32"/>
          <w:szCs w:val="32"/>
        </w:rPr>
        <w:t>、退费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、</w:t>
      </w:r>
      <w:r>
        <w:rPr>
          <w:rFonts w:ascii="仿宋" w:hAnsi="仿宋" w:eastAsia="仿宋"/>
          <w:color w:val="000000" w:themeColor="text1"/>
          <w:sz w:val="32"/>
          <w:szCs w:val="32"/>
        </w:rPr>
        <w:t>争议问题解决等。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教育、市场监管或</w:t>
      </w:r>
      <w:r>
        <w:rPr>
          <w:rFonts w:ascii="仿宋" w:hAnsi="仿宋" w:eastAsia="仿宋"/>
          <w:color w:val="000000" w:themeColor="text1"/>
          <w:sz w:val="32"/>
          <w:szCs w:val="32"/>
        </w:rPr>
        <w:t>行业组织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应推荐</w:t>
      </w:r>
      <w:r>
        <w:rPr>
          <w:rFonts w:ascii="仿宋" w:hAnsi="仿宋" w:eastAsia="仿宋"/>
          <w:color w:val="000000" w:themeColor="text1"/>
          <w:sz w:val="32"/>
          <w:szCs w:val="32"/>
        </w:rPr>
        <w:t>格式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服务</w:t>
      </w:r>
      <w:r>
        <w:rPr>
          <w:rFonts w:ascii="仿宋" w:hAnsi="仿宋" w:eastAsia="仿宋"/>
          <w:color w:val="000000" w:themeColor="text1"/>
          <w:sz w:val="32"/>
          <w:szCs w:val="32"/>
        </w:rPr>
        <w:t>合同范本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pacing w:val="-4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第七条（禁止性</w:t>
      </w:r>
      <w:r>
        <w:rPr>
          <w:rFonts w:ascii="黑体" w:hAnsi="黑体" w:eastAsia="黑体"/>
          <w:color w:val="000000" w:themeColor="text1"/>
          <w:sz w:val="32"/>
          <w:szCs w:val="32"/>
        </w:rPr>
        <w:t>收费行为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）</w:t>
      </w:r>
      <w:r>
        <w:rPr>
          <w:rFonts w:hint="eastAsia" w:ascii="仿宋" w:hAnsi="仿宋" w:eastAsia="仿宋"/>
          <w:color w:val="000000" w:themeColor="text1"/>
          <w:spacing w:val="-4"/>
          <w:sz w:val="32"/>
          <w:szCs w:val="32"/>
        </w:rPr>
        <w:t>不得</w:t>
      </w:r>
      <w:r>
        <w:rPr>
          <w:rFonts w:ascii="仿宋" w:hAnsi="仿宋" w:eastAsia="仿宋"/>
          <w:color w:val="000000" w:themeColor="text1"/>
          <w:spacing w:val="-4"/>
          <w:sz w:val="32"/>
          <w:szCs w:val="32"/>
        </w:rPr>
        <w:t>出现下列</w:t>
      </w:r>
      <w:r>
        <w:rPr>
          <w:rFonts w:hint="eastAsia" w:ascii="仿宋" w:hAnsi="仿宋" w:eastAsia="仿宋"/>
          <w:color w:val="000000" w:themeColor="text1"/>
          <w:spacing w:val="-4"/>
          <w:sz w:val="32"/>
          <w:szCs w:val="32"/>
        </w:rPr>
        <w:t>收费</w:t>
      </w:r>
      <w:r>
        <w:rPr>
          <w:rFonts w:ascii="仿宋" w:hAnsi="仿宋" w:eastAsia="仿宋"/>
          <w:color w:val="000000" w:themeColor="text1"/>
          <w:spacing w:val="-4"/>
          <w:sz w:val="32"/>
          <w:szCs w:val="32"/>
        </w:rPr>
        <w:t>或变相收费行为：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（一）在公示项目、标准或</w:t>
      </w:r>
      <w:r>
        <w:rPr>
          <w:rFonts w:ascii="仿宋" w:hAnsi="仿宋" w:eastAsia="仿宋"/>
          <w:color w:val="000000" w:themeColor="text1"/>
          <w:sz w:val="32"/>
          <w:szCs w:val="32"/>
        </w:rPr>
        <w:t>合同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外收取费用。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（二）按课时收费的，每科一次性收取超过60课时的费用；按培训周期收费的，一次性收取时间跨度超过3个月的费用（时间</w:t>
      </w:r>
      <w:r>
        <w:rPr>
          <w:rFonts w:ascii="仿宋" w:hAnsi="仿宋" w:eastAsia="仿宋"/>
          <w:color w:val="000000" w:themeColor="text1"/>
          <w:sz w:val="32"/>
          <w:szCs w:val="32"/>
        </w:rPr>
        <w:t>或者服务周期都不得超过3个月，不得变相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多收费）。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（三）培训机构</w:t>
      </w:r>
      <w:r>
        <w:rPr>
          <w:rFonts w:ascii="仿宋" w:hAnsi="仿宋" w:eastAsia="仿宋"/>
          <w:color w:val="000000" w:themeColor="text1"/>
          <w:sz w:val="32"/>
          <w:szCs w:val="32"/>
        </w:rPr>
        <w:t>引导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消费者</w:t>
      </w:r>
      <w:r>
        <w:rPr>
          <w:rFonts w:ascii="仿宋" w:hAnsi="仿宋" w:eastAsia="仿宋"/>
          <w:color w:val="000000" w:themeColor="text1"/>
          <w:sz w:val="32"/>
          <w:szCs w:val="32"/>
        </w:rPr>
        <w:t>使用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分期</w:t>
      </w:r>
      <w:r>
        <w:rPr>
          <w:rFonts w:ascii="仿宋" w:hAnsi="仿宋" w:eastAsia="仿宋"/>
          <w:color w:val="000000" w:themeColor="text1"/>
          <w:sz w:val="32"/>
          <w:szCs w:val="32"/>
        </w:rPr>
        <w:t>信贷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方式</w:t>
      </w:r>
      <w:r>
        <w:rPr>
          <w:rFonts w:ascii="仿宋" w:hAnsi="仿宋" w:eastAsia="仿宋"/>
          <w:color w:val="000000" w:themeColor="text1"/>
          <w:sz w:val="32"/>
          <w:szCs w:val="32"/>
        </w:rPr>
        <w:t>支付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大额消费的，</w:t>
      </w:r>
      <w:r>
        <w:rPr>
          <w:rFonts w:ascii="仿宋" w:hAnsi="仿宋" w:eastAsia="仿宋"/>
          <w:color w:val="000000" w:themeColor="text1"/>
          <w:sz w:val="32"/>
          <w:szCs w:val="32"/>
        </w:rPr>
        <w:t>大额应指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1万元</w:t>
      </w:r>
      <w:r>
        <w:rPr>
          <w:rFonts w:ascii="仿宋" w:hAnsi="仿宋" w:eastAsia="仿宋"/>
          <w:color w:val="000000" w:themeColor="text1"/>
          <w:sz w:val="32"/>
          <w:szCs w:val="32"/>
        </w:rPr>
        <w:t>以上。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（四）使用夸大</w:t>
      </w:r>
      <w:r>
        <w:rPr>
          <w:rFonts w:ascii="仿宋" w:hAnsi="仿宋" w:eastAsia="仿宋"/>
          <w:color w:val="000000" w:themeColor="text1"/>
          <w:sz w:val="32"/>
          <w:szCs w:val="32"/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虚假、误导等非法手段，诱导消费。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（五）超出经营者服务能力的。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（六）向培训</w:t>
      </w:r>
      <w:r>
        <w:rPr>
          <w:rFonts w:ascii="仿宋" w:hAnsi="仿宋" w:eastAsia="仿宋"/>
          <w:color w:val="000000" w:themeColor="text1"/>
          <w:sz w:val="32"/>
          <w:szCs w:val="32"/>
        </w:rPr>
        <w:t>对象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摊派费用或者强行</w:t>
      </w:r>
      <w:r>
        <w:rPr>
          <w:rFonts w:ascii="仿宋" w:hAnsi="仿宋" w:eastAsia="仿宋"/>
          <w:color w:val="000000" w:themeColor="text1"/>
          <w:sz w:val="32"/>
          <w:szCs w:val="32"/>
        </w:rPr>
        <w:t>集资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（七）违反交易</w:t>
      </w:r>
      <w:r>
        <w:rPr>
          <w:rFonts w:ascii="仿宋" w:hAnsi="仿宋" w:eastAsia="仿宋"/>
          <w:color w:val="000000" w:themeColor="text1"/>
          <w:sz w:val="32"/>
          <w:szCs w:val="32"/>
        </w:rPr>
        <w:t>原则的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其他行为。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第八条（降低消费</w:t>
      </w:r>
      <w:r>
        <w:rPr>
          <w:rFonts w:ascii="黑体" w:hAnsi="黑体" w:eastAsia="黑体"/>
          <w:color w:val="000000" w:themeColor="text1"/>
          <w:sz w:val="32"/>
          <w:szCs w:val="32"/>
        </w:rPr>
        <w:t>风险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进行1万元</w:t>
      </w:r>
      <w:r>
        <w:rPr>
          <w:rFonts w:ascii="仿宋" w:hAnsi="仿宋" w:eastAsia="仿宋"/>
          <w:color w:val="000000" w:themeColor="text1"/>
          <w:sz w:val="32"/>
          <w:szCs w:val="32"/>
        </w:rPr>
        <w:t>以上的大额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预付式消费时</w:t>
      </w:r>
      <w:r>
        <w:rPr>
          <w:rFonts w:ascii="仿宋" w:hAnsi="仿宋" w:eastAsia="仿宋"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培训机构须给引导</w:t>
      </w:r>
      <w:r>
        <w:rPr>
          <w:rFonts w:ascii="仿宋" w:hAnsi="仿宋" w:eastAsia="仿宋"/>
          <w:color w:val="000000" w:themeColor="text1"/>
          <w:sz w:val="32"/>
          <w:szCs w:val="32"/>
        </w:rPr>
        <w:t>消费者购买“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退费</w:t>
      </w:r>
      <w:r>
        <w:rPr>
          <w:rFonts w:ascii="仿宋" w:hAnsi="仿宋" w:eastAsia="仿宋"/>
          <w:color w:val="000000" w:themeColor="text1"/>
          <w:sz w:val="32"/>
          <w:szCs w:val="32"/>
        </w:rPr>
        <w:t>险”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等</w:t>
      </w:r>
      <w:r>
        <w:rPr>
          <w:rFonts w:ascii="仿宋" w:hAnsi="仿宋" w:eastAsia="仿宋"/>
          <w:color w:val="000000" w:themeColor="text1"/>
          <w:sz w:val="32"/>
          <w:szCs w:val="32"/>
        </w:rPr>
        <w:t>商业保险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</w:rPr>
        <w:t>降低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消费</w:t>
      </w:r>
      <w:r>
        <w:rPr>
          <w:rFonts w:ascii="仿宋" w:hAnsi="仿宋" w:eastAsia="仿宋"/>
          <w:color w:val="000000" w:themeColor="text1"/>
          <w:sz w:val="32"/>
          <w:szCs w:val="32"/>
        </w:rPr>
        <w:t>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第九</w:t>
      </w:r>
      <w:r>
        <w:rPr>
          <w:rFonts w:ascii="黑体" w:hAnsi="黑体" w:eastAsia="黑体"/>
          <w:color w:val="000000" w:themeColor="text1"/>
          <w:sz w:val="32"/>
          <w:szCs w:val="32"/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（学费收入</w:t>
      </w:r>
      <w:r>
        <w:rPr>
          <w:rFonts w:ascii="黑体" w:hAnsi="黑体" w:eastAsia="黑体"/>
          <w:color w:val="000000" w:themeColor="text1"/>
          <w:sz w:val="32"/>
          <w:szCs w:val="32"/>
        </w:rPr>
        <w:t>用途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）</w:t>
      </w:r>
      <w:r>
        <w:rPr>
          <w:rFonts w:ascii="仿宋" w:hAnsi="仿宋" w:eastAsia="仿宋"/>
          <w:color w:val="000000" w:themeColor="text1"/>
          <w:sz w:val="32"/>
          <w:szCs w:val="32"/>
        </w:rPr>
        <w:t>培训机构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的学费收入应主要用于培训</w:t>
      </w:r>
      <w:r>
        <w:rPr>
          <w:rFonts w:ascii="仿宋" w:hAnsi="仿宋" w:eastAsia="仿宋"/>
          <w:color w:val="000000" w:themeColor="text1"/>
          <w:sz w:val="32"/>
          <w:szCs w:val="32"/>
        </w:rPr>
        <w:t>教学活动、改善办学条件和保障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员</w:t>
      </w:r>
      <w:r>
        <w:rPr>
          <w:rFonts w:ascii="仿宋" w:hAnsi="仿宋" w:eastAsia="仿宋"/>
          <w:color w:val="000000" w:themeColor="text1"/>
          <w:sz w:val="32"/>
          <w:szCs w:val="32"/>
        </w:rPr>
        <w:t>工待遇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。学费收入不得用于投资</w:t>
      </w:r>
      <w:r>
        <w:rPr>
          <w:rFonts w:ascii="仿宋" w:hAnsi="仿宋" w:eastAsia="仿宋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第十条（退费）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消费者在收费课程开始前提出退费的，培训机构应在15个工作日内按原渠道一次性退还所有费用；在收费课程完成二分之一课时及以前提出退费的，应按已完成课时的比例扣除相应费用，其余部分在15个工作日内按原渠道一次性退还；在培训课程完成二分之一课时后提出退费的，培训机构可不再退还费用。但因培训机构单方面原因，导致无法继续为消费者提供服务的，应在15个工作日内按原渠道一次性退还剩余部分的费用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涉及分期式</w:t>
      </w:r>
      <w:r>
        <w:rPr>
          <w:rFonts w:ascii="仿宋" w:hAnsi="仿宋" w:eastAsia="仿宋"/>
          <w:color w:val="000000" w:themeColor="text1"/>
          <w:sz w:val="32"/>
          <w:szCs w:val="32"/>
        </w:rPr>
        <w:t>信贷消费退费的，按相关规定办理。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第十一</w:t>
      </w:r>
      <w:r>
        <w:rPr>
          <w:rFonts w:ascii="黑体" w:hAnsi="黑体" w:eastAsia="黑体"/>
          <w:color w:val="000000" w:themeColor="text1"/>
          <w:sz w:val="32"/>
          <w:szCs w:val="32"/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（争议处置）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培训机构</w:t>
      </w:r>
      <w:r>
        <w:rPr>
          <w:rFonts w:ascii="仿宋" w:hAnsi="仿宋" w:eastAsia="仿宋"/>
          <w:color w:val="000000" w:themeColor="text1"/>
          <w:sz w:val="32"/>
          <w:szCs w:val="32"/>
        </w:rPr>
        <w:t>和消费者发生权益争议的，可以通过下列途径解决：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(一)与经营者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双方</w:t>
      </w:r>
      <w:r>
        <w:rPr>
          <w:rFonts w:ascii="仿宋" w:hAnsi="仿宋" w:eastAsia="仿宋"/>
          <w:color w:val="000000" w:themeColor="text1"/>
          <w:sz w:val="32"/>
          <w:szCs w:val="32"/>
        </w:rPr>
        <w:t>协商和解;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(二)请求消费者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保护</w:t>
      </w:r>
      <w:r>
        <w:rPr>
          <w:rFonts w:ascii="仿宋" w:hAnsi="仿宋" w:eastAsia="仿宋"/>
          <w:color w:val="000000" w:themeColor="text1"/>
          <w:sz w:val="32"/>
          <w:szCs w:val="32"/>
        </w:rPr>
        <w:t>协会调解;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(三)向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备案</w:t>
      </w:r>
      <w:r>
        <w:rPr>
          <w:rFonts w:ascii="仿宋" w:hAnsi="仿宋" w:eastAsia="仿宋"/>
          <w:color w:val="000000" w:themeColor="text1"/>
          <w:sz w:val="32"/>
          <w:szCs w:val="32"/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审批、</w:t>
      </w:r>
      <w:r>
        <w:rPr>
          <w:rFonts w:ascii="仿宋" w:hAnsi="仿宋" w:eastAsia="仿宋"/>
          <w:color w:val="000000" w:themeColor="text1"/>
          <w:sz w:val="32"/>
          <w:szCs w:val="32"/>
        </w:rPr>
        <w:t>登记部门投诉;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(四)根据与经营者达成的仲裁协议提请仲裁机构仲裁;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(五)向人民法院提起诉讼。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第十二条（差异化监管）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教育行政部门对培训</w:t>
      </w:r>
      <w:r>
        <w:rPr>
          <w:rFonts w:ascii="仿宋" w:hAnsi="仿宋" w:eastAsia="仿宋"/>
          <w:color w:val="000000" w:themeColor="text1"/>
          <w:sz w:val="32"/>
          <w:szCs w:val="32"/>
        </w:rPr>
        <w:t>机构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实施差异化监管。对于收费退费行为规范、预付费风险低的可减少检查频次，对违规收费、退费投诉集中、预付费风险高的要实行重点监测、加大检查频次和力度，督促各校外培训机构依法依规经营。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第十三</w:t>
      </w:r>
      <w:r>
        <w:rPr>
          <w:rFonts w:ascii="黑体" w:hAnsi="黑体" w:eastAsia="黑体"/>
          <w:color w:val="000000" w:themeColor="text1"/>
          <w:sz w:val="32"/>
          <w:szCs w:val="32"/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（实施</w:t>
      </w:r>
      <w:r>
        <w:rPr>
          <w:rFonts w:ascii="黑体" w:hAnsi="黑体" w:eastAsia="黑体"/>
          <w:color w:val="000000" w:themeColor="text1"/>
          <w:sz w:val="32"/>
          <w:szCs w:val="32"/>
        </w:rPr>
        <w:t>时间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本细则自印发之日</w:t>
      </w:r>
      <w:r>
        <w:rPr>
          <w:rFonts w:ascii="仿宋" w:hAnsi="仿宋" w:eastAsia="仿宋"/>
          <w:color w:val="000000" w:themeColor="text1"/>
          <w:sz w:val="32"/>
          <w:szCs w:val="32"/>
        </w:rPr>
        <w:t>起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实施</w:t>
      </w:r>
      <w:r>
        <w:rPr>
          <w:rFonts w:ascii="仿宋" w:hAnsi="仿宋" w:eastAsia="仿宋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（起草单位：北京市教育委员会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7155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78F"/>
    <w:rsid w:val="0006264B"/>
    <w:rsid w:val="001347DF"/>
    <w:rsid w:val="00141061"/>
    <w:rsid w:val="00162655"/>
    <w:rsid w:val="00177166"/>
    <w:rsid w:val="00177272"/>
    <w:rsid w:val="00177FD5"/>
    <w:rsid w:val="001B78A7"/>
    <w:rsid w:val="001E6638"/>
    <w:rsid w:val="001F79CC"/>
    <w:rsid w:val="002036B9"/>
    <w:rsid w:val="0024366B"/>
    <w:rsid w:val="00312C53"/>
    <w:rsid w:val="003174E1"/>
    <w:rsid w:val="003367E2"/>
    <w:rsid w:val="0036109A"/>
    <w:rsid w:val="00372C8C"/>
    <w:rsid w:val="003A49D6"/>
    <w:rsid w:val="003A67BB"/>
    <w:rsid w:val="003C0568"/>
    <w:rsid w:val="003D61B9"/>
    <w:rsid w:val="003D7ADF"/>
    <w:rsid w:val="003F0F38"/>
    <w:rsid w:val="0041343F"/>
    <w:rsid w:val="0041460A"/>
    <w:rsid w:val="004202D3"/>
    <w:rsid w:val="004212AA"/>
    <w:rsid w:val="004338F6"/>
    <w:rsid w:val="004372E4"/>
    <w:rsid w:val="00494B88"/>
    <w:rsid w:val="004A7BD0"/>
    <w:rsid w:val="004A7DAE"/>
    <w:rsid w:val="004B17BA"/>
    <w:rsid w:val="004D1A65"/>
    <w:rsid w:val="00543874"/>
    <w:rsid w:val="005C6296"/>
    <w:rsid w:val="005D1303"/>
    <w:rsid w:val="005D47B5"/>
    <w:rsid w:val="005E2EB6"/>
    <w:rsid w:val="005F36F2"/>
    <w:rsid w:val="00611934"/>
    <w:rsid w:val="00612CC3"/>
    <w:rsid w:val="0061511C"/>
    <w:rsid w:val="006271D5"/>
    <w:rsid w:val="006A378F"/>
    <w:rsid w:val="006C54E5"/>
    <w:rsid w:val="006F68AE"/>
    <w:rsid w:val="00700C03"/>
    <w:rsid w:val="00703CA8"/>
    <w:rsid w:val="0071519C"/>
    <w:rsid w:val="007242FC"/>
    <w:rsid w:val="00747A46"/>
    <w:rsid w:val="00747D9C"/>
    <w:rsid w:val="00751ED7"/>
    <w:rsid w:val="007C0882"/>
    <w:rsid w:val="007E2409"/>
    <w:rsid w:val="007F648C"/>
    <w:rsid w:val="008366E8"/>
    <w:rsid w:val="0086234A"/>
    <w:rsid w:val="00864E47"/>
    <w:rsid w:val="00885409"/>
    <w:rsid w:val="0089388B"/>
    <w:rsid w:val="00896A28"/>
    <w:rsid w:val="008B0C21"/>
    <w:rsid w:val="008E0D50"/>
    <w:rsid w:val="00901BF7"/>
    <w:rsid w:val="00906EA8"/>
    <w:rsid w:val="009273F0"/>
    <w:rsid w:val="00945F02"/>
    <w:rsid w:val="0097303C"/>
    <w:rsid w:val="009B21AA"/>
    <w:rsid w:val="009F4724"/>
    <w:rsid w:val="00A12CD6"/>
    <w:rsid w:val="00A3410F"/>
    <w:rsid w:val="00A43D79"/>
    <w:rsid w:val="00A5765D"/>
    <w:rsid w:val="00AA4BF5"/>
    <w:rsid w:val="00AA6B9E"/>
    <w:rsid w:val="00AC7039"/>
    <w:rsid w:val="00AD42DF"/>
    <w:rsid w:val="00AD7337"/>
    <w:rsid w:val="00B13513"/>
    <w:rsid w:val="00B32954"/>
    <w:rsid w:val="00B33FA4"/>
    <w:rsid w:val="00B54B05"/>
    <w:rsid w:val="00B65624"/>
    <w:rsid w:val="00B70E0F"/>
    <w:rsid w:val="00B876EB"/>
    <w:rsid w:val="00BC305D"/>
    <w:rsid w:val="00C23716"/>
    <w:rsid w:val="00C3491C"/>
    <w:rsid w:val="00C64DEC"/>
    <w:rsid w:val="00C80B23"/>
    <w:rsid w:val="00C829E8"/>
    <w:rsid w:val="00C87B14"/>
    <w:rsid w:val="00C9157F"/>
    <w:rsid w:val="00C96E24"/>
    <w:rsid w:val="00D173AE"/>
    <w:rsid w:val="00D25BA4"/>
    <w:rsid w:val="00D72A22"/>
    <w:rsid w:val="00DC6B5C"/>
    <w:rsid w:val="00E0415B"/>
    <w:rsid w:val="00E2243C"/>
    <w:rsid w:val="00E25E19"/>
    <w:rsid w:val="00E56D2F"/>
    <w:rsid w:val="00E60F6A"/>
    <w:rsid w:val="00E92B7D"/>
    <w:rsid w:val="00EB6220"/>
    <w:rsid w:val="00EE162A"/>
    <w:rsid w:val="00F10BCC"/>
    <w:rsid w:val="00F872E2"/>
    <w:rsid w:val="00FC13A1"/>
    <w:rsid w:val="00FE0DA7"/>
    <w:rsid w:val="00FE4D47"/>
    <w:rsid w:val="00FF393D"/>
    <w:rsid w:val="229A7EA0"/>
    <w:rsid w:val="287D2E84"/>
    <w:rsid w:val="3A26630F"/>
    <w:rsid w:val="6F592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1491</Characters>
  <Lines>12</Lines>
  <Paragraphs>3</Paragraphs>
  <TotalTime>139</TotalTime>
  <ScaleCrop>false</ScaleCrop>
  <LinksUpToDate>false</LinksUpToDate>
  <CharactersWithSpaces>1749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2019-10-17T08:16:00Z</dcterms:created>
  <dc:creator>聂荣</dc:creator>
  <cp:lastModifiedBy>xiaobaochu</cp:lastModifiedBy>
  <cp:lastPrinted>2019-10-17T10:26:00Z</cp:lastPrinted>
  <dcterms:modified xsi:type="dcterms:W3CDTF">2019-11-28T07:33:17Z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