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1FE9B">
      <w:pPr>
        <w:rPr>
          <w:rFonts w:hint="eastAsia" w:ascii="仿宋_GB2312" w:hAnsi="仿宋_GB2312" w:eastAsia="仿宋_GB2312" w:cs="仿宋_GB2312"/>
          <w:sz w:val="32"/>
          <w:szCs w:val="32"/>
          <w:lang w:eastAsia="zh-CN"/>
        </w:rPr>
      </w:pPr>
      <w:bookmarkStart w:id="0" w:name="_GoBack"/>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14:paraId="704573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农村食品经营者临期食品管理工作</w:t>
      </w:r>
      <w:r>
        <w:rPr>
          <w:rFonts w:hint="eastAsia" w:ascii="方正小标宋简体" w:hAnsi="方正小标宋简体" w:eastAsia="方正小标宋简体" w:cs="方正小标宋简体"/>
          <w:sz w:val="44"/>
          <w:szCs w:val="44"/>
        </w:rPr>
        <w:t>指引</w:t>
      </w:r>
      <w:bookmarkEnd w:id="0"/>
    </w:p>
    <w:p w14:paraId="581B4AAE">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14:paraId="307063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深入</w:t>
      </w:r>
      <w:r>
        <w:rPr>
          <w:rFonts w:hint="eastAsia" w:ascii="仿宋_GB2312" w:hAnsi="仿宋_GB2312" w:eastAsia="仿宋_GB2312" w:cs="仿宋_GB2312"/>
          <w:sz w:val="32"/>
          <w:szCs w:val="32"/>
        </w:rPr>
        <w:t>贯彻</w:t>
      </w:r>
      <w:r>
        <w:rPr>
          <w:rFonts w:hint="eastAsia" w:ascii="仿宋_GB2312" w:hAnsi="仿宋_GB2312" w:eastAsia="仿宋_GB2312" w:cs="仿宋_GB2312"/>
          <w:sz w:val="32"/>
          <w:szCs w:val="32"/>
          <w:lang w:eastAsia="zh-CN"/>
        </w:rPr>
        <w:t>《中华人民共和国食品安全法》</w:t>
      </w:r>
      <w:r>
        <w:rPr>
          <w:rFonts w:hint="eastAsia" w:ascii="仿宋_GB2312" w:hAnsi="仿宋_GB2312" w:eastAsia="仿宋_GB2312" w:cs="仿宋_GB2312"/>
          <w:sz w:val="32"/>
          <w:szCs w:val="32"/>
        </w:rPr>
        <w:t>《中华人民共和国反食品浪费法》要求，指导和督促</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食品经营</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规范临近保质期食品的销售行为，防范过期变质等不合格食品问题，</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rPr>
        <w:t>保障消费者的</w:t>
      </w:r>
      <w:r>
        <w:rPr>
          <w:rFonts w:hint="eastAsia" w:ascii="仿宋_GB2312" w:hAnsi="仿宋_GB2312" w:eastAsia="仿宋_GB2312" w:cs="仿宋_GB2312"/>
          <w:sz w:val="32"/>
          <w:szCs w:val="32"/>
          <w:lang w:eastAsia="zh-CN"/>
        </w:rPr>
        <w:t>合法权益，</w:t>
      </w:r>
      <w:r>
        <w:rPr>
          <w:rFonts w:hint="eastAsia" w:ascii="仿宋_GB2312" w:hAnsi="仿宋_GB2312" w:eastAsia="仿宋_GB2312" w:cs="仿宋_GB2312"/>
          <w:sz w:val="32"/>
          <w:szCs w:val="32"/>
        </w:rPr>
        <w:t>特制定本</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指引。</w:t>
      </w:r>
    </w:p>
    <w:p w14:paraId="1D27D9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一、工作依据</w:t>
      </w:r>
    </w:p>
    <w:p w14:paraId="4BA685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《中华人民共和国食品安全法》第三十四条第二款第十条规定：“禁止生产经营超过保质期的食品。”</w:t>
      </w:r>
    </w:p>
    <w:p w14:paraId="4E34E4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lang w:val="en-US" w:eastAsia="zh-CN"/>
        </w:rPr>
        <w:t>反食品浪费法》第十二条规定：“ 超市、商场等食品经营者应当对其经营的食品加强日常检查，对临近保质期的食品分类管理，作特别标示或者集中陈列出售。”</w:t>
      </w:r>
    </w:p>
    <w:p w14:paraId="6252F1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《中华人民共和国食品安全法实施条例》第二十九条规定：“食品生产经营者应当对超过保质期的食品进行显著标示或者单独存放在有明确标志的场所，及时采取无害化处理、销毁等措施并如实记录。”</w:t>
      </w:r>
    </w:p>
    <w:p w14:paraId="1E4982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《食品经营过程卫生规范》（GB31621-2014）5.8规定：“应遵循先进先出的原则，定期检查库存食品，及时处理超过保质期的食品。”</w:t>
      </w:r>
    </w:p>
    <w:p w14:paraId="22F87A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二、临期食品定义</w:t>
      </w:r>
    </w:p>
    <w:p w14:paraId="0430DC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本指引所称的临期食品，是指在临近保质期内但尚未超过保质期的食品。</w:t>
      </w:r>
    </w:p>
    <w:p w14:paraId="3DF8AC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保质期是指预包装食品在</w:t>
      </w:r>
      <w:r>
        <w:rPr>
          <w:rFonts w:hint="eastAsia" w:ascii="仿宋_GB2312" w:hAnsi="仿宋_GB2312" w:eastAsia="仿宋_GB2312" w:cs="仿宋_GB2312"/>
          <w:sz w:val="32"/>
          <w:szCs w:val="32"/>
          <w:lang w:eastAsia="zh-CN"/>
        </w:rPr>
        <w:t>食品</w:t>
      </w:r>
      <w:r>
        <w:rPr>
          <w:rFonts w:hint="eastAsia" w:ascii="仿宋_GB2312" w:hAnsi="仿宋_GB2312" w:eastAsia="仿宋_GB2312" w:cs="仿宋_GB2312"/>
          <w:sz w:val="32"/>
          <w:szCs w:val="32"/>
        </w:rPr>
        <w:t>标签</w:t>
      </w:r>
      <w:r>
        <w:rPr>
          <w:rFonts w:hint="eastAsia" w:ascii="仿宋_GB2312" w:hAnsi="仿宋_GB2312" w:eastAsia="仿宋_GB2312" w:cs="仿宋_GB2312"/>
          <w:sz w:val="32"/>
          <w:szCs w:val="32"/>
          <w:lang w:eastAsia="zh-CN"/>
        </w:rPr>
        <w:t>标明</w:t>
      </w:r>
      <w:r>
        <w:rPr>
          <w:rFonts w:hint="eastAsia" w:ascii="仿宋_GB2312" w:hAnsi="仿宋_GB2312" w:eastAsia="仿宋_GB2312" w:cs="仿宋_GB2312"/>
          <w:sz w:val="32"/>
          <w:szCs w:val="32"/>
        </w:rPr>
        <w:t>的贮存条件下，保持品质的期限。</w:t>
      </w:r>
      <w:r>
        <w:rPr>
          <w:rFonts w:hint="eastAsia" w:ascii="仿宋_GB2312" w:hAnsi="仿宋_GB2312" w:eastAsia="仿宋_GB2312" w:cs="仿宋_GB2312"/>
          <w:sz w:val="32"/>
          <w:szCs w:val="32"/>
          <w:lang w:eastAsia="zh-CN"/>
        </w:rPr>
        <w:t>（参考</w:t>
      </w:r>
      <w:r>
        <w:rPr>
          <w:rFonts w:hint="eastAsia" w:ascii="仿宋_GB2312" w:eastAsia="仿宋_GB2312"/>
          <w:sz w:val="32"/>
          <w:szCs w:val="32"/>
        </w:rPr>
        <w:t>GB7718-20</w:t>
      </w:r>
      <w:r>
        <w:rPr>
          <w:rFonts w:hint="eastAsia" w:ascii="仿宋_GB2312" w:eastAsia="仿宋_GB2312"/>
          <w:sz w:val="32"/>
          <w:szCs w:val="32"/>
          <w:lang w:val="en-US" w:eastAsia="zh-CN"/>
        </w:rPr>
        <w:t>25</w:t>
      </w:r>
      <w:r>
        <w:rPr>
          <w:rFonts w:hint="eastAsia" w:ascii="仿宋_GB2312" w:eastAsia="仿宋_GB2312"/>
          <w:sz w:val="32"/>
          <w:szCs w:val="32"/>
        </w:rPr>
        <w:t>《食品安全国家标准 预包装食品标签通则》</w:t>
      </w:r>
      <w:r>
        <w:rPr>
          <w:rFonts w:hint="eastAsia" w:ascii="仿宋_GB2312" w:hAnsi="仿宋_GB2312" w:eastAsia="仿宋_GB2312" w:cs="仿宋_GB2312"/>
          <w:sz w:val="32"/>
          <w:szCs w:val="32"/>
          <w:lang w:eastAsia="zh-CN"/>
        </w:rPr>
        <w:t>）</w:t>
      </w:r>
    </w:p>
    <w:p w14:paraId="3C649C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三、适用范围</w:t>
      </w:r>
    </w:p>
    <w:p w14:paraId="11CB7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本市行政区域内位于农村地区的食品经营</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，均适用本指引。</w:t>
      </w:r>
    </w:p>
    <w:p w14:paraId="2A4A69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四、临期食品界定标准</w:t>
      </w:r>
    </w:p>
    <w:p w14:paraId="303423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食品临近保质期时限可以由食品经营</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自行设定，</w:t>
      </w:r>
      <w:r>
        <w:rPr>
          <w:rFonts w:hint="eastAsia" w:ascii="仿宋_GB2312" w:hAnsi="仿宋_GB2312" w:eastAsia="仿宋_GB2312" w:cs="仿宋_GB2312"/>
          <w:sz w:val="32"/>
          <w:szCs w:val="32"/>
          <w:lang w:eastAsia="zh-CN"/>
        </w:rPr>
        <w:t>也可参照如下标准界定：</w:t>
      </w:r>
    </w:p>
    <w:p w14:paraId="1CC586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食品保质期为1年以上的（含一年），期满之日前45天；</w:t>
      </w:r>
    </w:p>
    <w:p w14:paraId="52C4A0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食品</w:t>
      </w:r>
      <w:r>
        <w:rPr>
          <w:rFonts w:hint="eastAsia" w:ascii="仿宋_GB2312" w:hAnsi="仿宋_GB2312" w:eastAsia="仿宋_GB2312" w:cs="仿宋_GB2312"/>
          <w:sz w:val="32"/>
          <w:szCs w:val="32"/>
        </w:rPr>
        <w:t>保质期</w:t>
      </w:r>
      <w:r>
        <w:rPr>
          <w:rFonts w:hint="eastAsia" w:ascii="仿宋_GB2312" w:hAnsi="仿宋_GB2312" w:eastAsia="仿宋_GB2312" w:cs="仿宋_GB2312"/>
          <w:sz w:val="32"/>
          <w:szCs w:val="32"/>
          <w:lang w:val="en-US" w:eastAsia="zh-CN"/>
        </w:rPr>
        <w:t>10天以上</w:t>
      </w:r>
      <w:r>
        <w:rPr>
          <w:rFonts w:hint="eastAsia" w:ascii="仿宋_GB2312" w:hAnsi="仿宋_GB2312" w:eastAsia="仿宋_GB2312" w:cs="仿宋_GB2312"/>
          <w:sz w:val="32"/>
          <w:szCs w:val="32"/>
        </w:rPr>
        <w:t>不足1年的，</w:t>
      </w:r>
      <w:r>
        <w:rPr>
          <w:rFonts w:hint="eastAsia" w:ascii="仿宋_GB2312" w:hAnsi="仿宋_GB2312" w:eastAsia="仿宋_GB2312" w:cs="仿宋_GB2312"/>
          <w:sz w:val="32"/>
          <w:szCs w:val="32"/>
          <w:lang w:eastAsia="zh-CN"/>
        </w:rPr>
        <w:t>临期食品剩余保质期时长</w:t>
      </w:r>
      <w:r>
        <w:rPr>
          <w:rFonts w:hint="eastAsia" w:ascii="仿宋_GB2312" w:hAnsi="仿宋_GB2312" w:eastAsia="仿宋_GB2312" w:cs="仿宋_GB2312"/>
          <w:sz w:val="32"/>
          <w:szCs w:val="32"/>
        </w:rPr>
        <w:t>不得短于</w:t>
      </w:r>
      <w:r>
        <w:rPr>
          <w:rFonts w:hint="eastAsia" w:ascii="仿宋_GB2312" w:hAnsi="仿宋_GB2312" w:eastAsia="仿宋_GB2312" w:cs="仿宋_GB2312"/>
          <w:sz w:val="32"/>
          <w:szCs w:val="32"/>
          <w:lang w:eastAsia="zh-CN"/>
        </w:rPr>
        <w:t>保质期十分之一；</w:t>
      </w:r>
    </w:p>
    <w:p w14:paraId="2CA8AE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食品</w:t>
      </w:r>
      <w:r>
        <w:rPr>
          <w:rFonts w:hint="eastAsia" w:ascii="仿宋_GB2312" w:hAnsi="仿宋_GB2312" w:eastAsia="仿宋_GB2312" w:cs="仿宋_GB2312"/>
          <w:sz w:val="32"/>
          <w:szCs w:val="32"/>
        </w:rPr>
        <w:t>保质期少于1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天的</w:t>
      </w:r>
      <w:r>
        <w:rPr>
          <w:rFonts w:hint="eastAsia" w:ascii="仿宋_GB2312" w:hAnsi="仿宋_GB2312" w:eastAsia="仿宋_GB2312" w:cs="仿宋_GB2312"/>
          <w:sz w:val="32"/>
          <w:szCs w:val="32"/>
          <w:lang w:eastAsia="zh-CN"/>
        </w:rPr>
        <w:t>（不含</w:t>
      </w:r>
      <w:r>
        <w:rPr>
          <w:rFonts w:hint="eastAsia" w:ascii="仿宋_GB2312" w:hAnsi="仿宋_GB2312" w:eastAsia="仿宋_GB2312" w:cs="仿宋_GB2312"/>
          <w:sz w:val="32"/>
          <w:szCs w:val="32"/>
          <w:lang w:val="en-US" w:eastAsia="zh-CN"/>
        </w:rPr>
        <w:t>10天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，或者国家有关标准允许不标明保质期的食品，不设临近保质期。</w:t>
      </w:r>
    </w:p>
    <w:p w14:paraId="55A18D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五、分类管理</w:t>
      </w:r>
    </w:p>
    <w:p w14:paraId="2C01CE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食品</w:t>
      </w:r>
      <w:r>
        <w:rPr>
          <w:rFonts w:hint="eastAsia" w:ascii="仿宋_GB2312" w:hAnsi="仿宋_GB2312" w:eastAsia="仿宋_GB2312" w:cs="仿宋_GB2312"/>
          <w:sz w:val="32"/>
          <w:szCs w:val="32"/>
        </w:rPr>
        <w:t>经营</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应当加强日常检查，按照先</w:t>
      </w:r>
      <w:r>
        <w:rPr>
          <w:rFonts w:hint="eastAsia" w:ascii="仿宋_GB2312" w:hAnsi="仿宋_GB2312" w:eastAsia="仿宋_GB2312" w:cs="仿宋_GB2312"/>
          <w:sz w:val="32"/>
          <w:szCs w:val="32"/>
          <w:lang w:eastAsia="zh-CN"/>
        </w:rPr>
        <w:t>进</w:t>
      </w:r>
      <w:r>
        <w:rPr>
          <w:rFonts w:hint="eastAsia" w:ascii="仿宋_GB2312" w:hAnsi="仿宋_GB2312" w:eastAsia="仿宋_GB2312" w:cs="仿宋_GB2312"/>
          <w:sz w:val="32"/>
          <w:szCs w:val="32"/>
        </w:rPr>
        <w:t>先出原则，加强食品流转管理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对临近保质期的食品</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分类管理，作特别标示或者集中陈列出售。</w:t>
      </w:r>
    </w:p>
    <w:p w14:paraId="29CC9F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有条件的可设置</w:t>
      </w:r>
      <w:r>
        <w:rPr>
          <w:rFonts w:hint="eastAsia" w:ascii="仿宋_GB2312" w:hAnsi="仿宋_GB2312" w:eastAsia="仿宋_GB2312" w:cs="仿宋_GB2312"/>
          <w:sz w:val="32"/>
          <w:szCs w:val="32"/>
        </w:rPr>
        <w:t>专区</w:t>
      </w:r>
      <w:r>
        <w:rPr>
          <w:rFonts w:hint="eastAsia" w:ascii="仿宋_GB2312" w:hAnsi="仿宋_GB2312" w:eastAsia="仿宋_GB2312" w:cs="仿宋_GB2312"/>
          <w:sz w:val="32"/>
          <w:szCs w:val="32"/>
          <w:lang w:eastAsia="zh-CN"/>
        </w:rPr>
        <w:t>（柜），具体要求如下：</w:t>
      </w:r>
    </w:p>
    <w:p w14:paraId="4A6C3F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设置临期食品销售专区</w:t>
      </w:r>
      <w:r>
        <w:rPr>
          <w:rFonts w:hint="eastAsia" w:ascii="仿宋_GB2312" w:hAnsi="仿宋_GB2312" w:eastAsia="仿宋_GB2312" w:cs="仿宋_GB2312"/>
          <w:sz w:val="32"/>
          <w:szCs w:val="32"/>
          <w:lang w:eastAsia="zh-CN"/>
        </w:rPr>
        <w:t>（柜）。</w:t>
      </w:r>
      <w:r>
        <w:rPr>
          <w:rFonts w:hint="eastAsia" w:ascii="仿宋_GB2312" w:hAnsi="仿宋_GB2312" w:eastAsia="仿宋_GB2312" w:cs="仿宋_GB2312"/>
          <w:sz w:val="32"/>
          <w:szCs w:val="32"/>
        </w:rPr>
        <w:t>与其他货架区分，</w:t>
      </w:r>
      <w:r>
        <w:rPr>
          <w:rFonts w:hint="eastAsia" w:ascii="仿宋_GB2312" w:hAnsi="仿宋_GB2312" w:eastAsia="仿宋_GB2312" w:cs="仿宋_GB2312"/>
          <w:sz w:val="32"/>
          <w:szCs w:val="32"/>
          <w:lang w:eastAsia="zh-CN"/>
        </w:rPr>
        <w:t>设置</w:t>
      </w:r>
      <w:r>
        <w:rPr>
          <w:rFonts w:hint="eastAsia" w:ascii="仿宋_GB2312" w:hAnsi="仿宋_GB2312" w:eastAsia="仿宋_GB2312" w:cs="仿宋_GB2312"/>
          <w:sz w:val="32"/>
          <w:szCs w:val="32"/>
        </w:rPr>
        <w:t>标明“临期食品销售专区</w:t>
      </w:r>
      <w:r>
        <w:rPr>
          <w:rFonts w:hint="eastAsia" w:ascii="仿宋_GB2312" w:hAnsi="仿宋_GB2312" w:eastAsia="仿宋_GB2312" w:cs="仿宋_GB2312"/>
          <w:sz w:val="32"/>
          <w:szCs w:val="32"/>
          <w:lang w:eastAsia="zh-CN"/>
        </w:rPr>
        <w:t>（柜）</w:t>
      </w:r>
      <w:r>
        <w:rPr>
          <w:rFonts w:hint="eastAsia" w:ascii="仿宋_GB2312" w:hAnsi="仿宋_GB2312" w:eastAsia="仿宋_GB2312" w:cs="仿宋_GB2312"/>
          <w:sz w:val="32"/>
          <w:szCs w:val="32"/>
        </w:rPr>
        <w:t>”字样的标示牌。专区</w:t>
      </w:r>
      <w:r>
        <w:rPr>
          <w:rFonts w:hint="eastAsia" w:ascii="仿宋_GB2312" w:hAnsi="仿宋_GB2312" w:eastAsia="仿宋_GB2312" w:cs="仿宋_GB2312"/>
          <w:sz w:val="32"/>
          <w:szCs w:val="32"/>
          <w:lang w:eastAsia="zh-CN"/>
        </w:rPr>
        <w:t>（柜）</w:t>
      </w:r>
      <w:r>
        <w:rPr>
          <w:rFonts w:hint="eastAsia" w:ascii="仿宋_GB2312" w:hAnsi="仿宋_GB2312" w:eastAsia="仿宋_GB2312" w:cs="仿宋_GB2312"/>
          <w:sz w:val="32"/>
          <w:szCs w:val="32"/>
        </w:rPr>
        <w:t>的存储条件（温湿度等）符合食品</w:t>
      </w:r>
      <w:r>
        <w:rPr>
          <w:rFonts w:hint="eastAsia" w:ascii="仿宋_GB2312" w:hAnsi="仿宋_GB2312" w:eastAsia="仿宋_GB2312" w:cs="仿宋_GB2312"/>
          <w:sz w:val="32"/>
          <w:szCs w:val="32"/>
          <w:lang w:eastAsia="zh-CN"/>
        </w:rPr>
        <w:t>贮存</w:t>
      </w:r>
      <w:r>
        <w:rPr>
          <w:rFonts w:hint="eastAsia" w:ascii="仿宋_GB2312" w:hAnsi="仿宋_GB2312" w:eastAsia="仿宋_GB2312" w:cs="仿宋_GB2312"/>
          <w:sz w:val="32"/>
          <w:szCs w:val="32"/>
        </w:rPr>
        <w:t>要求。</w:t>
      </w:r>
    </w:p>
    <w:p w14:paraId="27EE6F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优化食品标识。以</w:t>
      </w:r>
      <w:r>
        <w:rPr>
          <w:rFonts w:hint="eastAsia" w:ascii="仿宋_GB2312" w:hAnsi="仿宋_GB2312" w:eastAsia="仿宋_GB2312" w:cs="仿宋_GB2312"/>
          <w:sz w:val="32"/>
          <w:szCs w:val="32"/>
          <w:lang w:eastAsia="zh-CN"/>
        </w:rPr>
        <w:t>打折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促销、</w:t>
      </w:r>
      <w:r>
        <w:rPr>
          <w:rFonts w:hint="eastAsia" w:ascii="仿宋_GB2312" w:hAnsi="仿宋_GB2312" w:eastAsia="仿宋_GB2312" w:cs="仿宋_GB2312"/>
          <w:sz w:val="32"/>
          <w:szCs w:val="32"/>
        </w:rPr>
        <w:t>特价、</w:t>
      </w:r>
      <w:r>
        <w:rPr>
          <w:rFonts w:hint="eastAsia" w:ascii="仿宋_GB2312" w:hAnsi="仿宋_GB2312" w:eastAsia="仿宋_GB2312" w:cs="仿宋_GB2312"/>
          <w:sz w:val="32"/>
          <w:szCs w:val="32"/>
          <w:lang w:eastAsia="zh-CN"/>
        </w:rPr>
        <w:t>捆绑、</w:t>
      </w:r>
      <w:r>
        <w:rPr>
          <w:rFonts w:hint="eastAsia" w:ascii="仿宋_GB2312" w:hAnsi="仿宋_GB2312" w:eastAsia="仿宋_GB2312" w:cs="仿宋_GB2312"/>
          <w:sz w:val="32"/>
          <w:szCs w:val="32"/>
        </w:rPr>
        <w:t>买赠等方式销售</w:t>
      </w:r>
      <w:r>
        <w:rPr>
          <w:rFonts w:hint="eastAsia" w:ascii="仿宋_GB2312" w:hAnsi="仿宋_GB2312" w:eastAsia="仿宋_GB2312" w:cs="仿宋_GB2312"/>
          <w:sz w:val="32"/>
          <w:szCs w:val="32"/>
          <w:lang w:eastAsia="zh-CN"/>
        </w:rPr>
        <w:t>临期</w:t>
      </w:r>
      <w:r>
        <w:rPr>
          <w:rFonts w:hint="eastAsia" w:ascii="仿宋_GB2312" w:hAnsi="仿宋_GB2312" w:eastAsia="仿宋_GB2312" w:cs="仿宋_GB2312"/>
          <w:sz w:val="32"/>
          <w:szCs w:val="32"/>
        </w:rPr>
        <w:t>食品的，须在该临期食品上粘贴“临近保质期食品”</w:t>
      </w:r>
      <w:r>
        <w:rPr>
          <w:rFonts w:hint="eastAsia" w:ascii="仿宋_GB2312" w:hAnsi="仿宋_GB2312" w:eastAsia="仿宋_GB2312" w:cs="仿宋_GB2312"/>
          <w:sz w:val="32"/>
          <w:szCs w:val="32"/>
          <w:lang w:eastAsia="zh-CN"/>
        </w:rPr>
        <w:t>或“临期食品”等</w:t>
      </w:r>
      <w:r>
        <w:rPr>
          <w:rFonts w:hint="eastAsia" w:ascii="仿宋_GB2312" w:hAnsi="仿宋_GB2312" w:eastAsia="仿宋_GB2312" w:cs="仿宋_GB2312"/>
          <w:sz w:val="32"/>
          <w:szCs w:val="32"/>
        </w:rPr>
        <w:t>标签提示</w:t>
      </w:r>
      <w:r>
        <w:rPr>
          <w:rFonts w:hint="eastAsia" w:ascii="仿宋_GB2312" w:hAnsi="仿宋_GB2312" w:eastAsia="仿宋_GB2312" w:cs="仿宋_GB2312"/>
          <w:sz w:val="32"/>
          <w:szCs w:val="32"/>
          <w:lang w:eastAsia="zh-CN"/>
        </w:rPr>
        <w:t>。</w:t>
      </w:r>
    </w:p>
    <w:p w14:paraId="75554A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六、临期食品日常销售管理</w:t>
      </w:r>
    </w:p>
    <w:p w14:paraId="0B9274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食品经营者应将临期食品管理作为食品安全风险管控清单重要内容，结合“日管控、周排查、月调度”等制度机制，定期清查理货，检查食品库存，发现食品临近保质期时，应及时转至临期食品专区</w:t>
      </w:r>
      <w:r>
        <w:rPr>
          <w:rFonts w:hint="eastAsia" w:ascii="仿宋_GB2312" w:hAnsi="仿宋_GB2312" w:eastAsia="仿宋_GB2312" w:cs="仿宋_GB2312"/>
          <w:sz w:val="32"/>
          <w:szCs w:val="32"/>
        </w:rPr>
        <w:t>（柜）</w:t>
      </w:r>
      <w:r>
        <w:rPr>
          <w:rFonts w:hint="eastAsia" w:ascii="仿宋_GB2312" w:hAnsi="仿宋_GB2312" w:eastAsia="仿宋_GB2312" w:cs="仿宋_GB2312"/>
          <w:sz w:val="32"/>
          <w:szCs w:val="32"/>
          <w:lang w:val="en-US" w:eastAsia="zh-CN"/>
        </w:rPr>
        <w:t>销售。</w:t>
      </w:r>
      <w:r>
        <w:rPr>
          <w:rFonts w:hint="eastAsia" w:ascii="仿宋_GB2312" w:hAnsi="仿宋_GB2312" w:eastAsia="仿宋_GB2312" w:cs="仿宋_GB2312"/>
          <w:sz w:val="32"/>
          <w:szCs w:val="32"/>
        </w:rPr>
        <w:t>食品经营</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不得采用遮盖、模糊等方式隐瞒食品的生产日期和保质期。</w:t>
      </w:r>
    </w:p>
    <w:p w14:paraId="5A3F0B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七、过期食品处置</w:t>
      </w:r>
    </w:p>
    <w:p w14:paraId="4486E5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食品经营者应</w:t>
      </w:r>
      <w:r>
        <w:rPr>
          <w:rFonts w:hint="eastAsia" w:ascii="仿宋_GB2312" w:hAnsi="仿宋_GB2312" w:eastAsia="仿宋_GB2312" w:cs="仿宋_GB2312"/>
          <w:sz w:val="32"/>
          <w:szCs w:val="32"/>
          <w:lang w:eastAsia="zh-CN"/>
        </w:rPr>
        <w:t>定期检查在售食品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发现过期食品应</w:t>
      </w:r>
      <w:r>
        <w:rPr>
          <w:rFonts w:hint="eastAsia" w:ascii="仿宋_GB2312" w:hAnsi="仿宋_GB2312" w:eastAsia="仿宋_GB2312" w:cs="仿宋_GB2312"/>
          <w:sz w:val="32"/>
          <w:szCs w:val="32"/>
        </w:rPr>
        <w:t>立即下架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及时采取无害化处理、销毁等措施并如实记录。严禁销售过期食品。严禁更换（改）包装和生产日期、保质期后再进行销售。</w:t>
      </w:r>
    </w:p>
    <w:p w14:paraId="12D2DA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八、落实反食品浪费措施</w:t>
      </w:r>
    </w:p>
    <w:p w14:paraId="3C2842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鼓励食品经营者建立健全采购制度，结合市场需求科学制定采购计划，加强对采购质量和有效期的把控，优先选择能够签订临期食品退货协议的供货单位。</w:t>
      </w:r>
    </w:p>
    <w:p w14:paraId="493648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九、强化监督检查</w:t>
      </w:r>
    </w:p>
    <w:p w14:paraId="265607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临期食品</w:t>
      </w:r>
      <w:r>
        <w:rPr>
          <w:rFonts w:hint="eastAsia" w:ascii="仿宋_GB2312" w:hAnsi="仿宋_GB2312" w:eastAsia="仿宋_GB2312" w:cs="仿宋_GB2312"/>
          <w:sz w:val="32"/>
          <w:szCs w:val="32"/>
        </w:rPr>
        <w:t>管理纳入</w:t>
      </w:r>
      <w:r>
        <w:rPr>
          <w:rFonts w:hint="eastAsia" w:ascii="仿宋_GB2312" w:hAnsi="仿宋_GB2312" w:eastAsia="仿宋_GB2312" w:cs="仿宋_GB2312"/>
          <w:sz w:val="32"/>
          <w:szCs w:val="32"/>
          <w:lang w:eastAsia="zh-CN"/>
        </w:rPr>
        <w:t>常态化监管</w:t>
      </w:r>
      <w:r>
        <w:rPr>
          <w:rFonts w:hint="eastAsia" w:ascii="仿宋_GB2312" w:hAnsi="仿宋_GB2312" w:eastAsia="仿宋_GB2312" w:cs="仿宋_GB2312"/>
          <w:sz w:val="32"/>
          <w:szCs w:val="32"/>
        </w:rPr>
        <w:t>，引导和督促</w:t>
      </w:r>
      <w:r>
        <w:rPr>
          <w:rFonts w:hint="eastAsia" w:ascii="仿宋_GB2312" w:hAnsi="仿宋_GB2312" w:eastAsia="仿宋_GB2312" w:cs="仿宋_GB2312"/>
          <w:sz w:val="32"/>
          <w:szCs w:val="32"/>
          <w:lang w:eastAsia="zh-CN"/>
        </w:rPr>
        <w:t>食品经营者</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eastAsia="zh-CN"/>
        </w:rPr>
        <w:t>临期食品</w:t>
      </w:r>
      <w:r>
        <w:rPr>
          <w:rFonts w:hint="eastAsia" w:ascii="仿宋_GB2312" w:hAnsi="仿宋_GB2312" w:eastAsia="仿宋_GB2312" w:cs="仿宋_GB2312"/>
          <w:sz w:val="32"/>
          <w:szCs w:val="32"/>
        </w:rPr>
        <w:t>管理，进一步提高</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诚信</w:t>
      </w:r>
      <w:r>
        <w:rPr>
          <w:rFonts w:hint="eastAsia" w:ascii="仿宋_GB2312" w:hAnsi="仿宋_GB2312" w:eastAsia="仿宋_GB2312" w:cs="仿宋_GB2312"/>
          <w:sz w:val="32"/>
          <w:szCs w:val="32"/>
          <w:lang w:eastAsia="zh-CN"/>
        </w:rPr>
        <w:t>经营</w:t>
      </w:r>
      <w:r>
        <w:rPr>
          <w:rFonts w:hint="eastAsia" w:ascii="仿宋_GB2312" w:hAnsi="仿宋_GB2312" w:eastAsia="仿宋_GB2312" w:cs="仿宋_GB2312"/>
          <w:sz w:val="32"/>
          <w:szCs w:val="32"/>
        </w:rPr>
        <w:t>、守法</w:t>
      </w:r>
      <w:r>
        <w:rPr>
          <w:rFonts w:hint="eastAsia" w:ascii="仿宋_GB2312" w:hAnsi="仿宋_GB2312" w:eastAsia="仿宋_GB2312" w:cs="仿宋_GB2312"/>
          <w:sz w:val="32"/>
          <w:szCs w:val="32"/>
          <w:lang w:eastAsia="zh-CN"/>
        </w:rPr>
        <w:t>经营</w:t>
      </w:r>
      <w:r>
        <w:rPr>
          <w:rFonts w:hint="eastAsia" w:ascii="仿宋_GB2312" w:hAnsi="仿宋_GB2312" w:eastAsia="仿宋_GB2312" w:cs="仿宋_GB2312"/>
          <w:sz w:val="32"/>
          <w:szCs w:val="32"/>
        </w:rPr>
        <w:t>的自律意识。发现销售过期变质食品等问题，</w:t>
      </w:r>
      <w:r>
        <w:rPr>
          <w:rFonts w:hint="eastAsia" w:ascii="仿宋_GB2312" w:hAnsi="仿宋_GB2312" w:eastAsia="仿宋_GB2312" w:cs="仿宋_GB2312"/>
          <w:sz w:val="32"/>
          <w:szCs w:val="32"/>
          <w:lang w:eastAsia="zh-CN"/>
        </w:rPr>
        <w:t>要在积极</w:t>
      </w:r>
      <w:r>
        <w:rPr>
          <w:rFonts w:hint="eastAsia" w:ascii="仿宋_GB2312" w:hAnsi="仿宋_GB2312" w:eastAsia="仿宋_GB2312" w:cs="仿宋_GB2312"/>
          <w:sz w:val="32"/>
          <w:szCs w:val="32"/>
        </w:rPr>
        <w:t>适用总局《免罚清单》和市局第三版《容错纠错清单》</w:t>
      </w:r>
      <w:r>
        <w:rPr>
          <w:rFonts w:hint="eastAsia" w:ascii="仿宋_GB2312" w:hAnsi="仿宋_GB2312" w:eastAsia="仿宋_GB2312" w:cs="仿宋_GB2312"/>
          <w:sz w:val="32"/>
          <w:szCs w:val="32"/>
          <w:lang w:eastAsia="zh-CN"/>
        </w:rPr>
        <w:t>基础上</w:t>
      </w:r>
      <w:r>
        <w:rPr>
          <w:rFonts w:hint="eastAsia" w:ascii="仿宋_GB2312" w:hAnsi="仿宋_GB2312" w:eastAsia="仿宋_GB2312" w:cs="仿宋_GB2312"/>
          <w:sz w:val="32"/>
          <w:szCs w:val="32"/>
        </w:rPr>
        <w:t>，综合违法事实、性质、情节、社会危害程度等因素，依法作出处理决定。</w:t>
      </w:r>
    </w:p>
    <w:p w14:paraId="779B59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十、宣传引导</w:t>
      </w:r>
    </w:p>
    <w:p w14:paraId="44CD55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加强临期食品相关知识的普及，提升公众的认知，提示消费者</w:t>
      </w:r>
      <w:r>
        <w:rPr>
          <w:rFonts w:hint="eastAsia" w:ascii="仿宋_GB2312" w:eastAsia="仿宋_GB2312"/>
          <w:sz w:val="32"/>
          <w:szCs w:val="32"/>
          <w:lang w:eastAsia="zh-CN"/>
        </w:rPr>
        <w:t>从</w:t>
      </w:r>
      <w:r>
        <w:rPr>
          <w:rFonts w:hint="eastAsia" w:ascii="仿宋_GB2312" w:eastAsia="仿宋_GB2312"/>
          <w:sz w:val="32"/>
          <w:szCs w:val="32"/>
        </w:rPr>
        <w:t>正规渠道</w:t>
      </w:r>
      <w:r>
        <w:rPr>
          <w:rFonts w:hint="eastAsia" w:ascii="仿宋_GB2312" w:eastAsia="仿宋_GB2312"/>
          <w:sz w:val="32"/>
          <w:szCs w:val="32"/>
          <w:lang w:eastAsia="zh-CN"/>
        </w:rPr>
        <w:t>采购</w:t>
      </w:r>
      <w:r>
        <w:rPr>
          <w:rFonts w:hint="eastAsia" w:ascii="仿宋_GB2312" w:eastAsia="仿宋_GB2312"/>
          <w:sz w:val="32"/>
          <w:szCs w:val="32"/>
        </w:rPr>
        <w:t>食品</w:t>
      </w:r>
      <w:r>
        <w:rPr>
          <w:rFonts w:hint="eastAsia" w:ascii="仿宋_GB2312" w:eastAsia="仿宋_GB2312"/>
          <w:sz w:val="32"/>
          <w:szCs w:val="32"/>
          <w:lang w:val="en-US" w:eastAsia="zh-CN"/>
        </w:rPr>
        <w:t>，</w:t>
      </w:r>
      <w:r>
        <w:rPr>
          <w:rFonts w:hint="eastAsia" w:ascii="仿宋_GB2312" w:eastAsia="仿宋_GB2312"/>
          <w:sz w:val="32"/>
          <w:szCs w:val="32"/>
        </w:rPr>
        <w:t>重点关注</w:t>
      </w:r>
      <w:r>
        <w:rPr>
          <w:rFonts w:hint="eastAsia" w:ascii="仿宋_GB2312" w:eastAsia="仿宋_GB2312"/>
          <w:sz w:val="32"/>
          <w:szCs w:val="32"/>
          <w:lang w:eastAsia="zh-CN"/>
        </w:rPr>
        <w:t>食品</w:t>
      </w:r>
      <w:r>
        <w:rPr>
          <w:rFonts w:hint="eastAsia" w:ascii="仿宋_GB2312" w:eastAsia="仿宋_GB2312"/>
          <w:sz w:val="32"/>
          <w:szCs w:val="32"/>
        </w:rPr>
        <w:t>生产日期、保质期</w:t>
      </w:r>
      <w:r>
        <w:rPr>
          <w:rFonts w:hint="eastAsia" w:ascii="仿宋_GB2312" w:eastAsia="仿宋_GB2312"/>
          <w:sz w:val="32"/>
          <w:szCs w:val="32"/>
          <w:lang w:eastAsia="zh-CN"/>
        </w:rPr>
        <w:t>、贮存条件</w:t>
      </w:r>
      <w:r>
        <w:rPr>
          <w:rFonts w:hint="eastAsia" w:ascii="仿宋_GB2312" w:eastAsia="仿宋_GB2312"/>
          <w:sz w:val="32"/>
          <w:szCs w:val="32"/>
        </w:rPr>
        <w:t>等信息，科学理性消费</w:t>
      </w:r>
      <w:r>
        <w:rPr>
          <w:rFonts w:hint="eastAsia" w:ascii="仿宋_GB2312" w:eastAsia="仿宋_GB2312"/>
          <w:sz w:val="32"/>
          <w:szCs w:val="32"/>
          <w:lang w:eastAsia="zh-CN"/>
        </w:rPr>
        <w:t>，</w:t>
      </w:r>
      <w:r>
        <w:rPr>
          <w:rFonts w:hint="eastAsia" w:ascii="仿宋_GB2312" w:eastAsia="仿宋_GB2312"/>
          <w:sz w:val="32"/>
          <w:szCs w:val="32"/>
        </w:rPr>
        <w:t>按需适量购买</w:t>
      </w:r>
      <w:r>
        <w:rPr>
          <w:rFonts w:hint="eastAsia" w:ascii="仿宋_GB2312" w:eastAsia="仿宋_GB2312"/>
          <w:sz w:val="32"/>
          <w:szCs w:val="32"/>
          <w:lang w:eastAsia="zh-CN"/>
        </w:rPr>
        <w:t>，</w:t>
      </w:r>
      <w:r>
        <w:rPr>
          <w:rFonts w:hint="eastAsia" w:ascii="仿宋_GB2312" w:eastAsia="仿宋_GB2312"/>
          <w:sz w:val="32"/>
          <w:szCs w:val="32"/>
        </w:rPr>
        <w:t>购买后在保质期内尽快食用</w:t>
      </w:r>
      <w:r>
        <w:rPr>
          <w:rFonts w:hint="eastAsia" w:ascii="仿宋_GB2312" w:eastAsia="仿宋_GB2312"/>
          <w:sz w:val="32"/>
          <w:szCs w:val="32"/>
          <w:lang w:eastAsia="zh-CN"/>
        </w:rPr>
        <w:t>，不</w:t>
      </w:r>
      <w:r>
        <w:rPr>
          <w:rFonts w:hint="eastAsia" w:ascii="仿宋_GB2312" w:eastAsia="仿宋_GB2312"/>
          <w:sz w:val="32"/>
          <w:szCs w:val="32"/>
        </w:rPr>
        <w:t>食用</w:t>
      </w:r>
      <w:r>
        <w:rPr>
          <w:rFonts w:hint="eastAsia" w:ascii="仿宋_GB2312" w:eastAsia="仿宋_GB2312"/>
          <w:sz w:val="32"/>
          <w:szCs w:val="32"/>
          <w:lang w:eastAsia="zh-CN"/>
        </w:rPr>
        <w:t>过期变质食品</w:t>
      </w:r>
      <w:r>
        <w:rPr>
          <w:rFonts w:hint="eastAsia" w:ascii="仿宋_GB2312" w:eastAsia="仿宋_GB2312"/>
          <w:sz w:val="32"/>
          <w:szCs w:val="32"/>
        </w:rPr>
        <w:t>。</w:t>
      </w:r>
    </w:p>
    <w:p w14:paraId="168308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B2000E4B-0F13-4DC7-9BF5-7807DE1DC53A}"/>
  </w:font>
  <w:font w:name="方正小标宋简体">
    <w:panose1 w:val="02000000000000000000"/>
    <w:charset w:val="86"/>
    <w:family w:val="auto"/>
    <w:pitch w:val="default"/>
    <w:sig w:usb0="00000001" w:usb1="08000000" w:usb2="00000000" w:usb3="00000000" w:csb0="00040000" w:csb1="00000000"/>
    <w:embedRegular r:id="rId2" w:fontKey="{093AA468-7C93-4B4B-A1AE-28EC1E8D87CE}"/>
  </w:font>
  <w:font w:name="方正黑体_GBK">
    <w:altName w:val="微软雅黑"/>
    <w:panose1 w:val="03000509000000000000"/>
    <w:charset w:val="86"/>
    <w:family w:val="auto"/>
    <w:pitch w:val="default"/>
    <w:sig w:usb0="00000000" w:usb1="00000000" w:usb2="00000000" w:usb3="00000000" w:csb0="00040000" w:csb1="00000000"/>
    <w:embedRegular r:id="rId3" w:fontKey="{A0ECF0B5-A6FF-461F-A5A2-55F5663761E5}"/>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13C41"/>
    <w:rsid w:val="69013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_Style 5"/>
    <w:basedOn w:val="1"/>
    <w:qFormat/>
    <w:uiPriority w:val="0"/>
    <w:pPr>
      <w:widowControl/>
      <w:ind w:firstLine="200" w:firstLineChars="200"/>
      <w:jc w:val="left"/>
    </w:pPr>
    <w:rPr>
      <w:rFonts w:ascii="Calibri" w:hAnsi="Calibri" w:eastAsia="宋体" w:cs="Times New Roman"/>
      <w:kern w:val="0"/>
      <w:sz w:val="24"/>
      <w:szCs w:val="22"/>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2025-08-21T01:12:00Z</dcterms:created>
  <dc:creator>沈锎洋</dc:creator>
  <cp:lastModifiedBy>沈锎洋</cp:lastModifiedBy>
  <dcterms:modified xsi:type="dcterms:W3CDTF">2025-08-21T01:13:22Z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6F8A903702354DFEBBF481FA768E2240_11</vt:lpwstr>
  </property>
  <property fmtid="{D5CDD505-2E9C-101B-9397-08002B2CF9AE}" pid="4" name="KSOTemplateDocerSaveRecord">
    <vt:lpwstr>eyJoZGlkIjoiMjA2Njg2MDViYjg2YmYyZWIyNDQ3YjJjNmU5NDM4ZjgiLCJ1c2VySWQiOiIxNjU3Mjc0OTIxIn0=</vt:lpwstr>
  </property>
</Properties>
</file>