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line="58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附件19</w:t>
      </w:r>
    </w:p>
    <w:p>
      <w:pPr>
        <w:adjustRightInd w:val="0"/>
        <w:snapToGrid w:val="0"/>
        <w:spacing w:beforeLines="0" w:afterLines="0" w:line="680" w:lineRule="exact"/>
        <w:jc w:val="center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不合格项目说明</w:t>
      </w:r>
    </w:p>
    <w:p>
      <w:pPr>
        <w:adjustRightInd w:val="0"/>
        <w:snapToGrid w:val="0"/>
        <w:spacing w:beforeLines="0" w:afterLines="0" w:line="300" w:lineRule="exact"/>
        <w:jc w:val="center"/>
        <w:rPr>
          <w:rFonts w:hint="eastAsia" w:ascii="Times New Roman" w:hAnsi="Times New Roman" w:eastAsia="方正小标宋简体"/>
          <w:bCs/>
          <w:sz w:val="44"/>
          <w:szCs w:val="44"/>
        </w:rPr>
      </w:pPr>
    </w:p>
    <w:p>
      <w:pPr>
        <w:pStyle w:val="5"/>
        <w:numPr>
          <w:ilvl w:val="0"/>
          <w:numId w:val="1"/>
        </w:numPr>
        <w:adjustRightInd w:val="0"/>
        <w:snapToGrid w:val="0"/>
        <w:spacing w:beforeLines="0" w:afterLines="0"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脱氢乙酸及其钠盐</w:t>
      </w:r>
      <w:bookmarkStart w:id="2" w:name="_GoBack"/>
      <w:bookmarkEnd w:id="2"/>
    </w:p>
    <w:p>
      <w:pPr>
        <w:pStyle w:val="5"/>
        <w:spacing w:beforeLines="0" w:afterLines="0"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脱氢乙酸及其钠盐作为食品添加剂，广泛用作防腐剂，对霉菌具有较强的抑制作用。</w:t>
      </w:r>
      <w:r>
        <w:rPr>
          <w:rFonts w:hint="eastAsia" w:ascii="仿宋" w:hAnsi="仿宋" w:eastAsia="仿宋"/>
          <w:color w:val="000000"/>
          <w:sz w:val="32"/>
          <w:szCs w:val="32"/>
        </w:rPr>
        <w:t>《食品安全国家标准 食品添加剂使用标准》（GB 2760）未规定生湿面制品中允许使用脱氢乙酸及其钠盐，即表明不得使用脱氢乙酸及其钠盐。</w:t>
      </w:r>
    </w:p>
    <w:p>
      <w:pPr>
        <w:pStyle w:val="5"/>
        <w:numPr>
          <w:ilvl w:val="0"/>
          <w:numId w:val="1"/>
        </w:numPr>
        <w:spacing w:beforeLines="0" w:afterLines="0"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氟苯尼考</w:t>
      </w:r>
    </w:p>
    <w:p>
      <w:pPr>
        <w:pStyle w:val="5"/>
        <w:spacing w:beforeLines="0" w:afterLines="0"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ascii="仿宋_GB2312" w:hAnsi="Calibri" w:eastAsia="仿宋_GB2312" w:cs="黑体"/>
          <w:sz w:val="32"/>
          <w:szCs w:val="32"/>
        </w:rPr>
        <w:t>氟苯尼考是一种农业部批准使用的动物专用抗菌药，主要用于敏感细菌所致的猪、鸡、鱼的细菌性疾病</w:t>
      </w:r>
      <w:r>
        <w:rPr>
          <w:rFonts w:hint="eastAsia" w:ascii="仿宋_GB2312" w:hAnsi="Calibri" w:eastAsia="仿宋_GB2312" w:cs="黑体"/>
          <w:sz w:val="32"/>
          <w:szCs w:val="32"/>
        </w:rPr>
        <w:t>防治</w:t>
      </w:r>
      <w:r>
        <w:rPr>
          <w:rFonts w:ascii="仿宋_GB2312" w:hAnsi="Calibri" w:eastAsia="仿宋_GB2312" w:cs="黑体"/>
          <w:sz w:val="32"/>
          <w:szCs w:val="32"/>
        </w:rPr>
        <w:t>，但产蛋家禽禁止使用氟苯尼考。</w:t>
      </w:r>
      <w:r>
        <w:rPr>
          <w:rFonts w:hint="eastAsia" w:ascii="仿宋_GB2312" w:hAnsi="黑体" w:eastAsia="仿宋_GB2312"/>
          <w:sz w:val="32"/>
          <w:szCs w:val="32"/>
        </w:rPr>
        <w:t>《食品安全国家标准 食品中兽药最大残留限量》</w:t>
      </w:r>
      <w:r>
        <w:rPr>
          <w:rFonts w:eastAsia="仿宋_GB2312"/>
          <w:sz w:val="32"/>
          <w:szCs w:val="32"/>
        </w:rPr>
        <w:t>（GB 31650）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规定“家禽（产蛋期禁用）”，即</w:t>
      </w:r>
      <w:r>
        <w:rPr>
          <w:rFonts w:hint="eastAsia" w:ascii="仿宋_GB2312" w:hAnsi="??" w:eastAsia="仿宋_GB2312" w:cs="Arial"/>
          <w:spacing w:val="-2"/>
          <w:kern w:val="0"/>
          <w:sz w:val="32"/>
          <w:szCs w:val="32"/>
        </w:rPr>
        <w:t>鸡蛋</w:t>
      </w:r>
      <w:r>
        <w:rPr>
          <w:rFonts w:hint="eastAsia" w:ascii="仿宋_GB2312" w:hAnsi="仿宋_GB2312" w:eastAsia="仿宋_GB2312" w:cs="仿宋_GB2312"/>
          <w:sz w:val="32"/>
          <w:szCs w:val="32"/>
        </w:rPr>
        <w:t>中不得检出。</w:t>
      </w:r>
    </w:p>
    <w:p>
      <w:pPr>
        <w:pStyle w:val="8"/>
        <w:numPr>
          <w:ilvl w:val="0"/>
          <w:numId w:val="1"/>
        </w:numPr>
        <w:adjustRightInd w:val="0"/>
        <w:snapToGrid w:val="0"/>
        <w:spacing w:beforeLines="0" w:afterLines="0" w:line="560" w:lineRule="exact"/>
        <w:ind w:firstLineChars="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恩诺沙星</w:t>
      </w:r>
    </w:p>
    <w:p>
      <w:pPr>
        <w:adjustRightInd w:val="0"/>
        <w:snapToGrid w:val="0"/>
        <w:spacing w:beforeLines="0" w:afterLines="0" w:line="560" w:lineRule="exact"/>
        <w:ind w:firstLine="640" w:firstLineChars="200"/>
        <w:textAlignment w:val="baseline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仿宋_GB2312" w:eastAsia="仿宋_GB2312" w:cs="仿宋_GB2312"/>
          <w:sz w:val="32"/>
          <w:szCs w:val="32"/>
        </w:rPr>
        <w:t>恩诺沙星，又名恩氟奎林羧酸，属于氟喹诺酮类药物，是一种化学合成的广谱抑菌剂，用于治疗动物的皮肤感染、呼吸道感染等，是动物专属用药。</w:t>
      </w:r>
      <w:bookmarkStart w:id="0" w:name="OLE_LINK1"/>
      <w:r>
        <w:rPr>
          <w:rFonts w:hint="eastAsia" w:ascii="Times New Roman" w:hAnsi="Times New Roman" w:eastAsia="仿宋_GB2312"/>
          <w:bCs/>
          <w:sz w:val="32"/>
          <w:szCs w:val="32"/>
        </w:rPr>
        <w:t>《食品安全国家标准 食品中兽药最大残留限量》（</w:t>
      </w:r>
      <w:r>
        <w:rPr>
          <w:rFonts w:ascii="Times New Roman" w:hAnsi="Times New Roman" w:eastAsia="仿宋_GB2312"/>
          <w:bCs/>
          <w:sz w:val="32"/>
          <w:szCs w:val="32"/>
        </w:rPr>
        <w:t>GB 31650</w:t>
      </w:r>
      <w:r>
        <w:rPr>
          <w:rFonts w:hint="eastAsia" w:ascii="Times New Roman" w:hAnsi="Times New Roman" w:eastAsia="仿宋_GB2312"/>
          <w:bCs/>
          <w:sz w:val="32"/>
          <w:szCs w:val="32"/>
        </w:rPr>
        <w:t>）</w:t>
      </w:r>
      <w:bookmarkEnd w:id="0"/>
      <w:r>
        <w:rPr>
          <w:rFonts w:hint="eastAsia" w:ascii="Times New Roman" w:hAnsi="Times New Roman" w:eastAsia="仿宋_GB2312"/>
          <w:bCs/>
          <w:sz w:val="32"/>
          <w:szCs w:val="32"/>
        </w:rPr>
        <w:t>规定，鱼中恩诺沙星(以恩诺沙星与环丙沙星之和计)应不超过100μg/kg。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beforeLines="0" w:afterLines="0"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氧氟沙星</w:t>
      </w:r>
    </w:p>
    <w:p>
      <w:pPr>
        <w:pStyle w:val="5"/>
        <w:adjustRightInd w:val="0"/>
        <w:snapToGrid w:val="0"/>
        <w:spacing w:beforeLines="0" w:afterLines="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氧氟沙星属于氟喹诺酮类药物，因抗菌谱广、抗菌活性强曾被广泛用于畜禽细菌性疾病的治疗和预防。《发布在食品动物中停止使用洛美沙星、培氟沙星、氧氟沙星、诺氟沙星4种兽药的决定》（农业部公告第2292号）中规定自2016年12月31日起，停止经营、使用用于食品动物的洛美沙星、培氟沙星、氧氟沙星、诺氟沙星4种原料药的各种盐、酯及其各种制剂。</w:t>
      </w:r>
    </w:p>
    <w:p>
      <w:pPr>
        <w:pStyle w:val="5"/>
        <w:numPr>
          <w:ilvl w:val="0"/>
          <w:numId w:val="1"/>
        </w:numPr>
        <w:spacing w:beforeLines="0" w:afterLines="0" w:line="560" w:lineRule="exact"/>
        <w:rPr>
          <w:rFonts w:eastAsia="黑体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shd w:val="clear" w:color="auto" w:fill="FFFFFF"/>
        </w:rPr>
        <w:t>大肠菌群</w:t>
      </w:r>
    </w:p>
    <w:p>
      <w:pPr>
        <w:pStyle w:val="5"/>
        <w:spacing w:beforeLines="0" w:afterLines="0"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大肠菌群是国内外通用的食品污染常用指示菌之一。食品餐饮具中检出大肠菌群，提示被肠道致病菌污染的可能性较大。《食品安全国家标准 消毒餐（饮）具》（GB 14934）中规定消毒餐（饮）具中大肠菌群不得检出。</w:t>
      </w:r>
    </w:p>
    <w:p>
      <w:pPr>
        <w:pStyle w:val="5"/>
        <w:numPr>
          <w:ilvl w:val="0"/>
          <w:numId w:val="1"/>
        </w:numPr>
        <w:adjustRightInd w:val="0"/>
        <w:snapToGrid w:val="0"/>
        <w:spacing w:beforeLines="0" w:afterLines="0" w:line="560" w:lineRule="exact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克百威</w:t>
      </w:r>
    </w:p>
    <w:p>
      <w:pPr>
        <w:pStyle w:val="5"/>
        <w:adjustRightInd w:val="0"/>
        <w:snapToGrid w:val="0"/>
        <w:spacing w:beforeLines="0" w:afterLines="0" w:line="560" w:lineRule="exact"/>
        <w:ind w:firstLine="640" w:firstLineChars="200"/>
        <w:rPr>
          <w:rFonts w:eastAsia="仿宋_GB2312" w:cs="黑体"/>
          <w:sz w:val="32"/>
          <w:szCs w:val="32"/>
        </w:rPr>
      </w:pPr>
      <w:r>
        <w:rPr>
          <w:rFonts w:hint="eastAsia" w:eastAsia="仿宋_GB2312" w:cs="黑体"/>
          <w:sz w:val="32"/>
          <w:szCs w:val="32"/>
        </w:rPr>
        <w:t>克百威，又名呋喃丹，是一种广谱性杀虫、杀螨、杀线虫剂，属于高毒农药。农业部第199号公告明确规定克百威不得用于蔬菜、果树、茶叶、中草药材上。《食品安全国家标准 食品中农药最大残留限量》（GB 2763）规定，鳞茎类蔬菜中克百威的最大残留限量为0.02 mg/kg。</w:t>
      </w:r>
    </w:p>
    <w:p>
      <w:pPr>
        <w:pStyle w:val="8"/>
        <w:numPr>
          <w:ilvl w:val="0"/>
          <w:numId w:val="1"/>
        </w:numPr>
        <w:spacing w:beforeLines="0" w:afterLines="0" w:line="560" w:lineRule="exact"/>
        <w:ind w:firstLineChars="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克伦特罗</w:t>
      </w:r>
    </w:p>
    <w:p>
      <w:pPr>
        <w:pStyle w:val="5"/>
        <w:spacing w:beforeLines="0" w:afterLines="0" w:line="560" w:lineRule="exact"/>
        <w:ind w:firstLine="640" w:firstLineChars="200"/>
        <w:rPr>
          <w:rFonts w:ascii="仿宋" w:hAnsi="仿宋" w:eastAsia="仿宋" w:cs="仿宋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</w:rPr>
        <w:t>克伦特罗属于β-受体激动剂类药物，能提高胴体的瘦肉率</w:t>
      </w:r>
      <w:r>
        <w:rPr>
          <w:rFonts w:ascii="仿宋" w:hAnsi="仿宋" w:eastAsia="仿宋" w:cs="仿宋"/>
          <w:bCs/>
          <w:sz w:val="32"/>
          <w:szCs w:val="32"/>
          <w:shd w:val="clear" w:color="auto" w:fill="FFFFFF"/>
        </w:rPr>
        <w:t>。人食用含有</w:t>
      </w: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</w:rPr>
        <w:t>“</w:t>
      </w:r>
      <w:r>
        <w:rPr>
          <w:rFonts w:ascii="仿宋" w:hAnsi="仿宋" w:eastAsia="仿宋" w:cs="仿宋"/>
          <w:bCs/>
          <w:sz w:val="32"/>
          <w:szCs w:val="32"/>
          <w:shd w:val="clear" w:color="auto" w:fill="FFFFFF"/>
        </w:rPr>
        <w:t>瘦肉精</w:t>
      </w: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</w:rPr>
        <w:t>”</w:t>
      </w:r>
      <w:r>
        <w:rPr>
          <w:rFonts w:ascii="仿宋" w:hAnsi="仿宋" w:eastAsia="仿宋" w:cs="仿宋"/>
          <w:bCs/>
          <w:sz w:val="32"/>
          <w:szCs w:val="32"/>
          <w:shd w:val="clear" w:color="auto" w:fill="FFFFFF"/>
        </w:rPr>
        <w:t>的动物性</w:t>
      </w: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</w:rPr>
        <w:t>食品</w:t>
      </w:r>
      <w:r>
        <w:rPr>
          <w:rFonts w:ascii="仿宋" w:hAnsi="仿宋" w:eastAsia="仿宋" w:cs="仿宋"/>
          <w:bCs/>
          <w:sz w:val="32"/>
          <w:szCs w:val="32"/>
          <w:shd w:val="clear" w:color="auto" w:fill="FFFFFF"/>
        </w:rPr>
        <w:t>，</w:t>
      </w:r>
      <w:r>
        <w:rPr>
          <w:rFonts w:hint="eastAsia" w:eastAsia="仿宋_GB2312"/>
          <w:sz w:val="32"/>
          <w:szCs w:val="32"/>
        </w:rPr>
        <w:t>可能会引起中毒，出现心悸、头晕、乏力等症状，对人体健康造成伤害。</w:t>
      </w:r>
      <w:r>
        <w:rPr>
          <w:rFonts w:ascii="仿宋" w:hAnsi="仿宋" w:eastAsia="仿宋" w:cs="仿宋"/>
          <w:bCs/>
          <w:sz w:val="32"/>
          <w:szCs w:val="32"/>
          <w:shd w:val="clear" w:color="auto" w:fill="FFFFFF"/>
        </w:rPr>
        <w:t>全国食品安全整顿工作办公室</w:t>
      </w: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</w:rPr>
        <w:t>印发的《食品中可能违法添加的非食用物质和易滥用的食品添加剂名单(第四批)》（整顿办函[2010]50号）将克伦特罗列为非食用物质。</w:t>
      </w:r>
    </w:p>
    <w:p>
      <w:pPr>
        <w:pStyle w:val="5"/>
        <w:numPr>
          <w:ilvl w:val="0"/>
          <w:numId w:val="1"/>
        </w:numPr>
        <w:spacing w:beforeLines="0" w:afterLines="0"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6-苄基腺嘌呤</w:t>
      </w:r>
      <w:r>
        <w:rPr>
          <w:rFonts w:hint="eastAsia" w:eastAsia="黑体"/>
          <w:color w:val="000000"/>
          <w:sz w:val="32"/>
          <w:szCs w:val="32"/>
        </w:rPr>
        <w:t>（</w:t>
      </w:r>
      <w:r>
        <w:rPr>
          <w:rFonts w:eastAsia="黑体"/>
          <w:color w:val="000000"/>
          <w:sz w:val="32"/>
          <w:szCs w:val="32"/>
        </w:rPr>
        <w:t>6-BA</w:t>
      </w:r>
      <w:r>
        <w:rPr>
          <w:rFonts w:hint="eastAsia" w:eastAsia="黑体"/>
          <w:color w:val="000000"/>
          <w:sz w:val="32"/>
          <w:szCs w:val="32"/>
        </w:rPr>
        <w:t>）</w:t>
      </w:r>
    </w:p>
    <w:p>
      <w:pPr>
        <w:pStyle w:val="5"/>
        <w:spacing w:beforeLines="0" w:afterLines="0" w:line="560" w:lineRule="exact"/>
        <w:ind w:firstLine="640" w:firstLineChars="200"/>
        <w:rPr>
          <w:rFonts w:ascii="仿宋_GB2312" w:hAnsi="Calibri" w:eastAsia="仿宋_GB2312" w:cs="黑体"/>
          <w:sz w:val="32"/>
          <w:szCs w:val="32"/>
        </w:rPr>
      </w:pPr>
      <w:r>
        <w:rPr>
          <w:rFonts w:ascii="仿宋_GB2312" w:hAnsi="Calibri" w:eastAsia="仿宋_GB2312" w:cs="黑体"/>
          <w:sz w:val="32"/>
          <w:szCs w:val="32"/>
        </w:rPr>
        <w:t>6-苄基腺嘌呤</w:t>
      </w:r>
      <w:r>
        <w:rPr>
          <w:rFonts w:hint="eastAsia" w:ascii="仿宋_GB2312" w:hAnsi="Calibri" w:eastAsia="仿宋_GB2312" w:cs="黑体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6-BA</w:t>
      </w:r>
      <w:r>
        <w:rPr>
          <w:rFonts w:hint="eastAsia" w:ascii="仿宋_GB2312" w:hAnsi="Calibri" w:eastAsia="仿宋_GB2312" w:cs="黑体"/>
          <w:sz w:val="32"/>
          <w:szCs w:val="32"/>
        </w:rPr>
        <w:t>）</w:t>
      </w:r>
      <w:r>
        <w:rPr>
          <w:rFonts w:ascii="仿宋_GB2312" w:hAnsi="Calibri" w:eastAsia="仿宋_GB2312" w:cs="黑体"/>
          <w:sz w:val="32"/>
          <w:szCs w:val="32"/>
        </w:rPr>
        <w:t>是植物生长调节剂。主要用于防止落花落果、抑制豆类生根，并能调节植物株内激素的平衡。但由于其对人体有一定积累毒性，《国家食品药品监督管理总局、农业部、国家卫生和计划生育委员会关于豆芽生产过程中禁止使用6-苄基腺嘌呤等物质的公告》（2015年第11号）规定豆芽生产经营过程中禁止使用6-苄基腺嘌呤。</w:t>
      </w:r>
    </w:p>
    <w:p>
      <w:pPr>
        <w:pStyle w:val="5"/>
        <w:numPr>
          <w:ilvl w:val="0"/>
          <w:numId w:val="1"/>
        </w:numPr>
        <w:spacing w:beforeLines="0" w:afterLines="0" w:line="560" w:lineRule="exact"/>
        <w:rPr>
          <w:rFonts w:ascii="黑体" w:hAnsi="黑体" w:eastAsia="黑体" w:cs="黑体"/>
          <w:iCs/>
          <w:sz w:val="32"/>
          <w:szCs w:val="32"/>
        </w:rPr>
      </w:pPr>
      <w:r>
        <w:rPr>
          <w:rFonts w:hint="eastAsia" w:ascii="黑体" w:hAnsi="黑体" w:eastAsia="黑体" w:cs="黑体"/>
          <w:iCs/>
          <w:sz w:val="32"/>
          <w:szCs w:val="32"/>
        </w:rPr>
        <w:t>酸度</w:t>
      </w:r>
    </w:p>
    <w:p>
      <w:pPr>
        <w:pStyle w:val="5"/>
        <w:spacing w:beforeLines="0" w:afterLines="0" w:line="560" w:lineRule="exact"/>
        <w:ind w:firstLine="640" w:firstLineChars="200"/>
        <w:rPr>
          <w:rFonts w:ascii="仿宋_GB2312" w:hAnsi="Calibri" w:eastAsia="仿宋_GB2312" w:cs="黑体"/>
          <w:iCs/>
          <w:sz w:val="32"/>
          <w:szCs w:val="32"/>
        </w:rPr>
      </w:pPr>
      <w:r>
        <w:rPr>
          <w:rFonts w:hint="eastAsia" w:ascii="仿宋_GB2312" w:hAnsi="Calibri" w:eastAsia="仿宋_GB2312" w:cs="黑体"/>
          <w:iCs/>
          <w:sz w:val="32"/>
          <w:szCs w:val="32"/>
        </w:rPr>
        <w:t>酸度是灭菌乳（羊乳）</w:t>
      </w:r>
      <w:r>
        <w:rPr>
          <w:rFonts w:ascii="仿宋_GB2312" w:hAnsi="Calibri" w:eastAsia="仿宋_GB2312" w:cs="黑体"/>
          <w:iCs/>
          <w:sz w:val="32"/>
          <w:szCs w:val="32"/>
        </w:rPr>
        <w:t>的</w:t>
      </w:r>
      <w:r>
        <w:rPr>
          <w:rFonts w:hint="eastAsia" w:ascii="仿宋_GB2312" w:hAnsi="Calibri" w:eastAsia="仿宋_GB2312" w:cs="黑体"/>
          <w:iCs/>
          <w:sz w:val="32"/>
          <w:szCs w:val="32"/>
        </w:rPr>
        <w:t>品质</w:t>
      </w:r>
      <w:r>
        <w:rPr>
          <w:rFonts w:ascii="仿宋_GB2312" w:hAnsi="Calibri" w:eastAsia="仿宋_GB2312" w:cs="黑体"/>
          <w:iCs/>
          <w:sz w:val="32"/>
          <w:szCs w:val="32"/>
        </w:rPr>
        <w:t>指标之一</w:t>
      </w:r>
      <w:r>
        <w:rPr>
          <w:rFonts w:hint="eastAsia" w:ascii="仿宋_GB2312" w:hAnsi="Calibri" w:eastAsia="仿宋_GB2312" w:cs="黑体"/>
          <w:iCs/>
          <w:sz w:val="32"/>
          <w:szCs w:val="32"/>
        </w:rPr>
        <w:t>。《食品安全国家标准 灭菌乳》（</w:t>
      </w:r>
      <w:bookmarkStart w:id="1" w:name="OLE_LINK2"/>
      <w:r>
        <w:rPr>
          <w:rFonts w:hint="eastAsia" w:ascii="仿宋_GB2312" w:hAnsi="Calibri" w:eastAsia="仿宋_GB2312" w:cs="黑体"/>
          <w:iCs/>
          <w:sz w:val="32"/>
          <w:szCs w:val="32"/>
        </w:rPr>
        <w:t>GB 25190</w:t>
      </w:r>
      <w:bookmarkEnd w:id="1"/>
      <w:r>
        <w:rPr>
          <w:rFonts w:hint="eastAsia" w:ascii="仿宋_GB2312" w:hAnsi="Calibri" w:eastAsia="仿宋_GB2312" w:cs="黑体"/>
          <w:iCs/>
          <w:sz w:val="32"/>
          <w:szCs w:val="32"/>
        </w:rPr>
        <w:t>）规定了灭菌乳（羊乳）酸度应在</w:t>
      </w:r>
      <w:r>
        <w:rPr>
          <w:rFonts w:hint="eastAsia" w:eastAsia="仿宋_GB2312" w:cs="黑体"/>
          <w:iCs/>
          <w:sz w:val="32"/>
          <w:szCs w:val="32"/>
        </w:rPr>
        <w:t>6°T～13°T</w:t>
      </w:r>
      <w:r>
        <w:rPr>
          <w:rFonts w:hint="eastAsia" w:ascii="仿宋_GB2312" w:hAnsi="Calibri" w:eastAsia="仿宋_GB2312" w:cs="黑体"/>
          <w:iCs/>
          <w:sz w:val="32"/>
          <w:szCs w:val="32"/>
        </w:rPr>
        <w:t>范围内。</w:t>
      </w:r>
    </w:p>
    <w:p>
      <w:pPr>
        <w:pStyle w:val="5"/>
        <w:numPr>
          <w:ilvl w:val="0"/>
          <w:numId w:val="1"/>
        </w:numPr>
        <w:adjustRightInd w:val="0"/>
        <w:snapToGrid w:val="0"/>
        <w:spacing w:beforeLines="0" w:afterLines="0" w:line="560" w:lineRule="exact"/>
        <w:rPr>
          <w:rFonts w:eastAsia="黑体" w:cs="仿宋"/>
          <w:sz w:val="32"/>
          <w:szCs w:val="32"/>
        </w:rPr>
      </w:pPr>
      <w:r>
        <w:rPr>
          <w:rFonts w:hint="eastAsia" w:hAnsi="黑体" w:eastAsia="黑体" w:cs="仿宋"/>
          <w:sz w:val="32"/>
          <w:szCs w:val="32"/>
        </w:rPr>
        <w:t>镉</w:t>
      </w:r>
    </w:p>
    <w:p>
      <w:pPr>
        <w:pStyle w:val="5"/>
        <w:adjustRightInd w:val="0"/>
        <w:snapToGrid w:val="0"/>
        <w:spacing w:beforeLines="0" w:afterLines="0"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镉属于重金属污染物指标，联合国环境规划署（DNFP）和国际职业卫生重金属委员会将镉列入重点研究的环境污染物，世界卫生组织（WHO）则将其作为优先研究的食品污染物。《食品安全国家标准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2762）规定，鲜、冻水产动物甲壳类中镉应不超过0.5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beforeLines="0" w:afterLines="0"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甲拌磷</w:t>
      </w:r>
    </w:p>
    <w:p>
      <w:pPr>
        <w:adjustRightInd w:val="0"/>
        <w:snapToGrid w:val="0"/>
        <w:spacing w:beforeLines="0" w:afterLines="0" w:line="560" w:lineRule="exact"/>
        <w:ind w:firstLine="627" w:firstLineChars="196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甲拌磷是一种有机磷类内吸杀虫、杀螨剂。农业部规定蔬菜中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禁止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使用农药甲拌磷。《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食品安全国家标准 食品中农药最大残留限量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（GB 2763）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规定，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叶菜类蔬菜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中甲拌磷的最大残留限量为0.01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mg/kg。</w:t>
      </w:r>
    </w:p>
    <w:p>
      <w:pPr>
        <w:pStyle w:val="5"/>
        <w:spacing w:beforeLines="0" w:afterLines="0" w:line="560" w:lineRule="exact"/>
        <w:ind w:left="64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十二、苯甲酸及其钠盐</w:t>
      </w:r>
    </w:p>
    <w:p>
      <w:pPr>
        <w:pStyle w:val="5"/>
        <w:adjustRightInd/>
        <w:snapToGrid/>
        <w:spacing w:beforeLines="0" w:afterLines="0"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苯甲酸及其钠盐是食品工业中常见的防腐剂，对霉菌、酵母和细菌有较好的抑制作用。</w:t>
      </w:r>
      <w:r>
        <w:rPr>
          <w:rFonts w:ascii="仿宋" w:hAnsi="仿宋" w:eastAsia="仿宋" w:cs="仿宋"/>
          <w:sz w:val="32"/>
          <w:szCs w:val="32"/>
        </w:rPr>
        <w:t>《食品安全国家标准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食品添加剂使用标准》（GB 2760）</w:t>
      </w:r>
      <w:r>
        <w:rPr>
          <w:rFonts w:hint="eastAsia" w:ascii="仿宋" w:hAnsi="仿宋" w:eastAsia="仿宋"/>
          <w:sz w:val="32"/>
          <w:szCs w:val="32"/>
        </w:rPr>
        <w:t>未规定豆腐中允许使用苯甲酸及其钠盐，即表明不得使用苯甲酸及其钠盐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60822758">
    <w:nsid w:val="216D79E6"/>
    <w:multiLevelType w:val="multilevel"/>
    <w:tmpl w:val="216D79E6"/>
    <w:lvl w:ilvl="0" w:tentative="1">
      <w:start w:val="1"/>
      <w:numFmt w:val="chineseCountingThousand"/>
      <w:lvlText w:val="%1、"/>
      <w:lvlJc w:val="left"/>
      <w:pPr>
        <w:ind w:left="13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608227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formatting="1" w:enforcement="1" w:cryptProviderType="rsaFull" w:cryptAlgorithmClass="hash" w:cryptAlgorithmType="typeAny" w:cryptAlgorithmSid="4" w:cryptSpinCount="0" w:hash="DD7paNdhDD6ri7piyYeC7m6OjA0=" w:salt="MnXOJb0Df6WeHx1JXvK9j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1375B"/>
    <w:rsid w:val="00000E2C"/>
    <w:rsid w:val="00007960"/>
    <w:rsid w:val="00041F52"/>
    <w:rsid w:val="00044B73"/>
    <w:rsid w:val="000877C3"/>
    <w:rsid w:val="00097A7B"/>
    <w:rsid w:val="000D7EF0"/>
    <w:rsid w:val="000E1F3A"/>
    <w:rsid w:val="000E56F7"/>
    <w:rsid w:val="0012304B"/>
    <w:rsid w:val="00126C46"/>
    <w:rsid w:val="00156A6A"/>
    <w:rsid w:val="00193AC7"/>
    <w:rsid w:val="00195B79"/>
    <w:rsid w:val="001A7792"/>
    <w:rsid w:val="001C503B"/>
    <w:rsid w:val="001E457C"/>
    <w:rsid w:val="001E6FB8"/>
    <w:rsid w:val="001F45CF"/>
    <w:rsid w:val="00226A84"/>
    <w:rsid w:val="00271DF9"/>
    <w:rsid w:val="00281DFF"/>
    <w:rsid w:val="002A7D00"/>
    <w:rsid w:val="002B6C04"/>
    <w:rsid w:val="002C29BF"/>
    <w:rsid w:val="002C4155"/>
    <w:rsid w:val="002C6988"/>
    <w:rsid w:val="002D18AD"/>
    <w:rsid w:val="002D42BF"/>
    <w:rsid w:val="002F11C4"/>
    <w:rsid w:val="002F70B8"/>
    <w:rsid w:val="0030757C"/>
    <w:rsid w:val="003343D3"/>
    <w:rsid w:val="00390D7F"/>
    <w:rsid w:val="003A59ED"/>
    <w:rsid w:val="003A6290"/>
    <w:rsid w:val="003D25FB"/>
    <w:rsid w:val="003D5354"/>
    <w:rsid w:val="003E5B35"/>
    <w:rsid w:val="003F0C78"/>
    <w:rsid w:val="003F54AC"/>
    <w:rsid w:val="00401B9E"/>
    <w:rsid w:val="00404081"/>
    <w:rsid w:val="0041375B"/>
    <w:rsid w:val="00413C5B"/>
    <w:rsid w:val="0041638A"/>
    <w:rsid w:val="0042091D"/>
    <w:rsid w:val="00423B74"/>
    <w:rsid w:val="00423DEA"/>
    <w:rsid w:val="00445C02"/>
    <w:rsid w:val="00461642"/>
    <w:rsid w:val="00476807"/>
    <w:rsid w:val="00482271"/>
    <w:rsid w:val="004A5696"/>
    <w:rsid w:val="004B74B9"/>
    <w:rsid w:val="004D3F9B"/>
    <w:rsid w:val="004F67DE"/>
    <w:rsid w:val="00532A67"/>
    <w:rsid w:val="0054794C"/>
    <w:rsid w:val="00557F67"/>
    <w:rsid w:val="00566F79"/>
    <w:rsid w:val="00582C92"/>
    <w:rsid w:val="00585B84"/>
    <w:rsid w:val="0059011A"/>
    <w:rsid w:val="00591EC1"/>
    <w:rsid w:val="0059247B"/>
    <w:rsid w:val="005C046A"/>
    <w:rsid w:val="005D71B4"/>
    <w:rsid w:val="00605651"/>
    <w:rsid w:val="00632C22"/>
    <w:rsid w:val="0066369E"/>
    <w:rsid w:val="006713A6"/>
    <w:rsid w:val="00680916"/>
    <w:rsid w:val="00681FEA"/>
    <w:rsid w:val="006854F2"/>
    <w:rsid w:val="006B6528"/>
    <w:rsid w:val="006C1844"/>
    <w:rsid w:val="006D7405"/>
    <w:rsid w:val="006E2949"/>
    <w:rsid w:val="006E33D5"/>
    <w:rsid w:val="00704E7E"/>
    <w:rsid w:val="007064CB"/>
    <w:rsid w:val="0072006A"/>
    <w:rsid w:val="00721C67"/>
    <w:rsid w:val="00722548"/>
    <w:rsid w:val="00744B5C"/>
    <w:rsid w:val="00780AFB"/>
    <w:rsid w:val="007A2AA4"/>
    <w:rsid w:val="0080385B"/>
    <w:rsid w:val="0083472B"/>
    <w:rsid w:val="00852FBB"/>
    <w:rsid w:val="00857791"/>
    <w:rsid w:val="00884B03"/>
    <w:rsid w:val="00887940"/>
    <w:rsid w:val="00896755"/>
    <w:rsid w:val="008A2085"/>
    <w:rsid w:val="008A510D"/>
    <w:rsid w:val="008F7FDF"/>
    <w:rsid w:val="00905019"/>
    <w:rsid w:val="00907486"/>
    <w:rsid w:val="00907789"/>
    <w:rsid w:val="009125EE"/>
    <w:rsid w:val="009178E3"/>
    <w:rsid w:val="00917AD6"/>
    <w:rsid w:val="00920E11"/>
    <w:rsid w:val="00920F8F"/>
    <w:rsid w:val="00940313"/>
    <w:rsid w:val="00971768"/>
    <w:rsid w:val="00971D21"/>
    <w:rsid w:val="00972533"/>
    <w:rsid w:val="0098067D"/>
    <w:rsid w:val="00986AE1"/>
    <w:rsid w:val="00994733"/>
    <w:rsid w:val="009A237D"/>
    <w:rsid w:val="009B551F"/>
    <w:rsid w:val="00A1509A"/>
    <w:rsid w:val="00A3628C"/>
    <w:rsid w:val="00A403E4"/>
    <w:rsid w:val="00A526A3"/>
    <w:rsid w:val="00A65383"/>
    <w:rsid w:val="00A74AF7"/>
    <w:rsid w:val="00A83C90"/>
    <w:rsid w:val="00A9533E"/>
    <w:rsid w:val="00AB3A11"/>
    <w:rsid w:val="00AB4B83"/>
    <w:rsid w:val="00AB7426"/>
    <w:rsid w:val="00AD4512"/>
    <w:rsid w:val="00AD74FF"/>
    <w:rsid w:val="00AE14B2"/>
    <w:rsid w:val="00AE67E5"/>
    <w:rsid w:val="00AF3FC1"/>
    <w:rsid w:val="00B12BDA"/>
    <w:rsid w:val="00B221D7"/>
    <w:rsid w:val="00B322D3"/>
    <w:rsid w:val="00B42652"/>
    <w:rsid w:val="00B426B6"/>
    <w:rsid w:val="00B47C7F"/>
    <w:rsid w:val="00B5194D"/>
    <w:rsid w:val="00B54CFB"/>
    <w:rsid w:val="00B56C94"/>
    <w:rsid w:val="00B667FD"/>
    <w:rsid w:val="00B76396"/>
    <w:rsid w:val="00B77AE2"/>
    <w:rsid w:val="00B93358"/>
    <w:rsid w:val="00BC0E67"/>
    <w:rsid w:val="00BC5FCF"/>
    <w:rsid w:val="00BC6168"/>
    <w:rsid w:val="00C02A64"/>
    <w:rsid w:val="00C21B21"/>
    <w:rsid w:val="00C25757"/>
    <w:rsid w:val="00C27CD0"/>
    <w:rsid w:val="00C705BF"/>
    <w:rsid w:val="00C944FD"/>
    <w:rsid w:val="00CA2C4F"/>
    <w:rsid w:val="00CA4538"/>
    <w:rsid w:val="00CE4F7A"/>
    <w:rsid w:val="00D21D50"/>
    <w:rsid w:val="00D67E50"/>
    <w:rsid w:val="00D86801"/>
    <w:rsid w:val="00DA28FE"/>
    <w:rsid w:val="00DB1958"/>
    <w:rsid w:val="00DF2BEB"/>
    <w:rsid w:val="00E00278"/>
    <w:rsid w:val="00E1247D"/>
    <w:rsid w:val="00E16D44"/>
    <w:rsid w:val="00E53455"/>
    <w:rsid w:val="00E554FB"/>
    <w:rsid w:val="00E618F7"/>
    <w:rsid w:val="00E94EC5"/>
    <w:rsid w:val="00EA0210"/>
    <w:rsid w:val="00EA2B1B"/>
    <w:rsid w:val="00EC20AF"/>
    <w:rsid w:val="00ED68BC"/>
    <w:rsid w:val="00EF5489"/>
    <w:rsid w:val="00F26674"/>
    <w:rsid w:val="00F41E45"/>
    <w:rsid w:val="00F42374"/>
    <w:rsid w:val="00F47D45"/>
    <w:rsid w:val="00F506A2"/>
    <w:rsid w:val="00F90804"/>
    <w:rsid w:val="00F94A60"/>
    <w:rsid w:val="00FA093B"/>
    <w:rsid w:val="00FA2AB0"/>
    <w:rsid w:val="00FB23C3"/>
    <w:rsid w:val="00FC65E8"/>
    <w:rsid w:val="00FE26C6"/>
    <w:rsid w:val="07EF1A8A"/>
    <w:rsid w:val="09483C7C"/>
    <w:rsid w:val="0C66611F"/>
    <w:rsid w:val="0D475299"/>
    <w:rsid w:val="102764FF"/>
    <w:rsid w:val="18B018A3"/>
    <w:rsid w:val="1CF347D0"/>
    <w:rsid w:val="1EA67A94"/>
    <w:rsid w:val="207A1CDF"/>
    <w:rsid w:val="23BD563C"/>
    <w:rsid w:val="2B2614CB"/>
    <w:rsid w:val="2D8C4802"/>
    <w:rsid w:val="2E100838"/>
    <w:rsid w:val="311D2E05"/>
    <w:rsid w:val="32221DB3"/>
    <w:rsid w:val="32C55D9E"/>
    <w:rsid w:val="357069F0"/>
    <w:rsid w:val="37714620"/>
    <w:rsid w:val="39473A65"/>
    <w:rsid w:val="3E452F8E"/>
    <w:rsid w:val="3F204DD4"/>
    <w:rsid w:val="4ABB422A"/>
    <w:rsid w:val="4B3854D9"/>
    <w:rsid w:val="4E4A6A8E"/>
    <w:rsid w:val="510612FC"/>
    <w:rsid w:val="53CA7198"/>
    <w:rsid w:val="556278BC"/>
    <w:rsid w:val="55C36911"/>
    <w:rsid w:val="58054B0A"/>
    <w:rsid w:val="587B0306"/>
    <w:rsid w:val="59BC47F9"/>
    <w:rsid w:val="5D8A0D6F"/>
    <w:rsid w:val="5DEC5676"/>
    <w:rsid w:val="613C41A8"/>
    <w:rsid w:val="620A2365"/>
    <w:rsid w:val="621E5D60"/>
    <w:rsid w:val="646C7EC4"/>
    <w:rsid w:val="68965191"/>
    <w:rsid w:val="6CF97F62"/>
    <w:rsid w:val="6ECF5C49"/>
    <w:rsid w:val="6F1C5868"/>
    <w:rsid w:val="70C95C99"/>
    <w:rsid w:val="732E63CA"/>
    <w:rsid w:val="733846E6"/>
    <w:rsid w:val="741F11FF"/>
    <w:rsid w:val="792F6650"/>
    <w:rsid w:val="7BC8154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rPr>
      <w:rFonts w:ascii="Times New Roman" w:hAnsi="Times New Roman" w:cs="Times New Roman"/>
      <w:sz w:val="24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2">
    <w:name w:val="apple-converted-space"/>
    <w:basedOn w:val="6"/>
    <w:qFormat/>
    <w:uiPriority w:val="0"/>
    <w:rPr/>
  </w:style>
  <w:style w:type="character" w:customStyle="1" w:styleId="13">
    <w:name w:val="不明显强调1"/>
    <w:basedOn w:val="6"/>
    <w:qFormat/>
    <w:uiPriority w:val="19"/>
    <w:rPr>
      <w:i/>
      <w:i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4</Pages>
  <Words>234</Words>
  <Characters>1337</Characters>
  <Lines>11</Lines>
  <Paragraphs>3</Paragraphs>
  <TotalTime>0</TotalTime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2020-07-15T03:17:00Z</dcterms:created>
  <dc:creator>1</dc:creator>
  <cp:lastModifiedBy>董廷俊</cp:lastModifiedBy>
  <cp:lastPrinted>2020-07-16T02:44:00Z</cp:lastPrinted>
  <dcterms:modified xsi:type="dcterms:W3CDTF">2020-08-06T05:06:17Z</dcterms:modified>
  <dc:title>附件19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