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3A9D" w:rsidRDefault="00686D3D">
      <w:pPr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附件22</w:t>
      </w:r>
    </w:p>
    <w:p w:rsidR="00903A9D" w:rsidRDefault="00686D3D">
      <w:pPr>
        <w:jc w:val="center"/>
        <w:rPr>
          <w:rFonts w:ascii="方正小标宋简体" w:eastAsia="方正小标宋简体"/>
          <w:bCs/>
          <w:sz w:val="44"/>
          <w:szCs w:val="44"/>
        </w:rPr>
      </w:pPr>
      <w:r>
        <w:rPr>
          <w:rFonts w:ascii="方正小标宋简体" w:eastAsia="方正小标宋简体" w:hint="eastAsia"/>
          <w:bCs/>
          <w:sz w:val="44"/>
          <w:szCs w:val="44"/>
        </w:rPr>
        <w:t>不合格项目说明</w:t>
      </w:r>
    </w:p>
    <w:p w:rsidR="00C92AC2" w:rsidRDefault="000A0EB8" w:rsidP="00C92AC2">
      <w:pPr>
        <w:pStyle w:val="a6"/>
        <w:ind w:firstLineChars="200" w:firstLine="640"/>
        <w:rPr>
          <w:rFonts w:ascii="黑体" w:eastAsia="黑体" w:hAnsi="黑体" w:cs="黑体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一</w:t>
      </w:r>
      <w:r w:rsidR="00C92AC2">
        <w:rPr>
          <w:rFonts w:ascii="黑体" w:eastAsia="黑体" w:hAnsi="黑体" w:cs="黑体" w:hint="eastAsia"/>
          <w:bCs/>
          <w:sz w:val="32"/>
          <w:szCs w:val="32"/>
        </w:rPr>
        <w:t>、大肠菌群</w:t>
      </w:r>
    </w:p>
    <w:p w:rsidR="00C92AC2" w:rsidRDefault="00C92AC2" w:rsidP="00C92AC2">
      <w:pPr>
        <w:pStyle w:val="a6"/>
        <w:spacing w:line="58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>大肠菌群是国内外通用的食品污染常用指示菌之一。食品中检出大肠菌群，提示被致病菌（如沙门氏菌、志贺氏菌、致病性大肠杆菌）污染的可能性较大。《食品安全国家标准 冷冻饮品和制作料》（GB 2759-2015）对冷冻饮品中的大肠菌群规定同批次5个独立包装产品中大肠菌群检测结果不允许有超过10</w:t>
      </w:r>
      <w:r>
        <w:rPr>
          <w:rFonts w:ascii="仿宋_GB2312" w:eastAsia="仿宋_GB2312" w:hint="eastAsia"/>
          <w:bCs/>
          <w:sz w:val="32"/>
          <w:szCs w:val="32"/>
          <w:vertAlign w:val="superscript"/>
        </w:rPr>
        <w:t>2</w:t>
      </w:r>
      <w:r>
        <w:rPr>
          <w:rFonts w:ascii="仿宋_GB2312" w:eastAsia="仿宋_GB2312" w:hint="eastAsia"/>
          <w:bCs/>
          <w:sz w:val="32"/>
          <w:szCs w:val="32"/>
        </w:rPr>
        <w:t xml:space="preserve"> CFU/g的，且至少3个包装产品检测结果不超过10 CFU/g。</w:t>
      </w:r>
    </w:p>
    <w:p w:rsidR="00903A9D" w:rsidRDefault="000A0EB8">
      <w:pPr>
        <w:pStyle w:val="a6"/>
        <w:ind w:firstLineChars="200" w:firstLine="640"/>
        <w:rPr>
          <w:rFonts w:ascii="黑体" w:eastAsia="黑体" w:hAnsi="黑体" w:cs="黑体"/>
          <w:bCs/>
          <w:sz w:val="32"/>
          <w:szCs w:val="32"/>
          <w:highlight w:val="yellow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二</w:t>
      </w:r>
      <w:r w:rsidR="00686D3D">
        <w:rPr>
          <w:rFonts w:ascii="黑体" w:eastAsia="黑体" w:hAnsi="黑体" w:cs="黑体" w:hint="eastAsia"/>
          <w:bCs/>
          <w:sz w:val="32"/>
          <w:szCs w:val="32"/>
        </w:rPr>
        <w:t>、</w:t>
      </w:r>
      <w:proofErr w:type="gramStart"/>
      <w:r w:rsidR="00686D3D">
        <w:rPr>
          <w:rFonts w:ascii="黑体" w:eastAsia="黑体" w:hAnsi="黑体" w:cs="黑体" w:hint="eastAsia"/>
          <w:bCs/>
          <w:sz w:val="32"/>
          <w:szCs w:val="32"/>
        </w:rPr>
        <w:t>恩诺沙</w:t>
      </w:r>
      <w:proofErr w:type="gramEnd"/>
      <w:r w:rsidR="00686D3D">
        <w:rPr>
          <w:rFonts w:ascii="黑体" w:eastAsia="黑体" w:hAnsi="黑体" w:cs="黑体" w:hint="eastAsia"/>
          <w:bCs/>
          <w:sz w:val="32"/>
          <w:szCs w:val="32"/>
        </w:rPr>
        <w:t>星</w:t>
      </w:r>
    </w:p>
    <w:p w:rsidR="00903A9D" w:rsidRDefault="00686D3D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proofErr w:type="gramStart"/>
      <w:r>
        <w:rPr>
          <w:rFonts w:ascii="仿宋" w:eastAsia="仿宋" w:hAnsi="仿宋" w:cs="仿宋" w:hint="eastAsia"/>
          <w:sz w:val="32"/>
          <w:szCs w:val="32"/>
        </w:rPr>
        <w:t>恩诺沙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星，又名恩氟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奎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林羧酸，属于氟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喹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诺酮类药物，是一种化学合成的广谱抑菌剂，主要用于预防和治疗畜禽的细菌性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感染及支原体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病。《动物性食品中兽药最高残留限量》（农业部第235号公告）规定</w:t>
      </w:r>
      <w:r>
        <w:rPr>
          <w:rFonts w:ascii="仿宋_GB2312" w:eastAsia="仿宋_GB2312" w:hint="eastAsia"/>
          <w:sz w:val="32"/>
          <w:szCs w:val="32"/>
        </w:rPr>
        <w:t>所有食品动物的肌肉</w:t>
      </w:r>
      <w:proofErr w:type="gramStart"/>
      <w:r>
        <w:rPr>
          <w:rFonts w:ascii="仿宋_GB2312" w:eastAsia="仿宋_GB2312" w:hint="eastAsia"/>
          <w:sz w:val="32"/>
          <w:szCs w:val="32"/>
        </w:rPr>
        <w:t>中恩诺沙</w:t>
      </w:r>
      <w:proofErr w:type="gramEnd"/>
      <w:r>
        <w:rPr>
          <w:rFonts w:ascii="仿宋_GB2312" w:eastAsia="仿宋_GB2312" w:hint="eastAsia"/>
          <w:sz w:val="32"/>
          <w:szCs w:val="32"/>
        </w:rPr>
        <w:t>星（以</w:t>
      </w:r>
      <w:proofErr w:type="gramStart"/>
      <w:r>
        <w:rPr>
          <w:rFonts w:ascii="仿宋_GB2312" w:eastAsia="仿宋_GB2312" w:hint="eastAsia"/>
          <w:sz w:val="32"/>
          <w:szCs w:val="32"/>
        </w:rPr>
        <w:t>恩诺沙</w:t>
      </w:r>
      <w:proofErr w:type="gramEnd"/>
      <w:r>
        <w:rPr>
          <w:rFonts w:ascii="仿宋_GB2312" w:eastAsia="仿宋_GB2312" w:hint="eastAsia"/>
          <w:sz w:val="32"/>
          <w:szCs w:val="32"/>
        </w:rPr>
        <w:t>星与环丙沙星之和计）的限量值为100 μg/kg。</w:t>
      </w:r>
    </w:p>
    <w:p w:rsidR="000A0EB8" w:rsidRDefault="000A0EB8" w:rsidP="000A0EB8">
      <w:pPr>
        <w:ind w:firstLineChars="196" w:firstLine="627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三、</w:t>
      </w:r>
      <w:proofErr w:type="gramStart"/>
      <w:r>
        <w:rPr>
          <w:rFonts w:ascii="黑体" w:eastAsia="黑体" w:hAnsi="黑体" w:hint="eastAsia"/>
          <w:sz w:val="32"/>
          <w:szCs w:val="32"/>
        </w:rPr>
        <w:t>腐霉利</w:t>
      </w:r>
      <w:proofErr w:type="gramEnd"/>
    </w:p>
    <w:p w:rsidR="000A0EB8" w:rsidRDefault="000A0EB8" w:rsidP="000A0EB8">
      <w:pPr>
        <w:pStyle w:val="1"/>
        <w:spacing w:line="640" w:lineRule="exact"/>
        <w:ind w:firstLine="640"/>
        <w:rPr>
          <w:rFonts w:ascii="仿宋_GB2312" w:eastAsia="仿宋_GB2312"/>
          <w:bCs/>
          <w:sz w:val="32"/>
          <w:szCs w:val="32"/>
        </w:rPr>
      </w:pPr>
      <w:proofErr w:type="gramStart"/>
      <w:r>
        <w:rPr>
          <w:rFonts w:ascii="仿宋_GB2312" w:eastAsia="仿宋_GB2312" w:hAnsi="Times New Roman" w:cs="Times New Roman" w:hint="eastAsia"/>
          <w:bCs/>
          <w:sz w:val="32"/>
          <w:szCs w:val="32"/>
        </w:rPr>
        <w:t>腐霉利属于</w:t>
      </w:r>
      <w:proofErr w:type="gramEnd"/>
      <w:r>
        <w:rPr>
          <w:rFonts w:ascii="仿宋_GB2312" w:eastAsia="仿宋_GB2312" w:hAnsi="Times New Roman" w:cs="Times New Roman" w:hint="eastAsia"/>
          <w:bCs/>
          <w:sz w:val="32"/>
          <w:szCs w:val="32"/>
        </w:rPr>
        <w:t>低毒性杀菌剂，可用于防治黄瓜、茄子、番茄、洋葱等的灰霉病，莴苣、辣椒的茎腐病，油菜菌核病等。《食品安全国家标准 食品中农药最大残留限量》（GB 2763-2016）规定，韭菜</w:t>
      </w:r>
      <w:proofErr w:type="gramStart"/>
      <w:r>
        <w:rPr>
          <w:rFonts w:ascii="仿宋_GB2312" w:eastAsia="仿宋_GB2312" w:hAnsi="Times New Roman" w:cs="Times New Roman" w:hint="eastAsia"/>
          <w:bCs/>
          <w:sz w:val="32"/>
          <w:szCs w:val="32"/>
        </w:rPr>
        <w:t>中腐霉利</w:t>
      </w:r>
      <w:proofErr w:type="gramEnd"/>
      <w:r>
        <w:rPr>
          <w:rFonts w:ascii="仿宋_GB2312" w:eastAsia="仿宋_GB2312" w:hAnsi="Times New Roman" w:cs="Times New Roman" w:hint="eastAsia"/>
          <w:bCs/>
          <w:sz w:val="32"/>
          <w:szCs w:val="32"/>
        </w:rPr>
        <w:t>的最大残留限量为0.2 mg/kg。</w:t>
      </w:r>
    </w:p>
    <w:p w:rsidR="00903A9D" w:rsidRPr="00446771" w:rsidRDefault="00446771" w:rsidP="00446771">
      <w:pPr>
        <w:pStyle w:val="a6"/>
        <w:spacing w:line="580" w:lineRule="exact"/>
        <w:ind w:firstLineChars="200" w:firstLine="640"/>
        <w:rPr>
          <w:rFonts w:eastAsia="黑体"/>
          <w:sz w:val="32"/>
          <w:szCs w:val="32"/>
        </w:rPr>
      </w:pPr>
      <w:r w:rsidRPr="00446771">
        <w:rPr>
          <w:rFonts w:eastAsia="黑体" w:hint="eastAsia"/>
          <w:sz w:val="32"/>
          <w:szCs w:val="32"/>
        </w:rPr>
        <w:lastRenderedPageBreak/>
        <w:t>四、</w:t>
      </w:r>
      <w:r w:rsidR="00686D3D" w:rsidRPr="00446771">
        <w:rPr>
          <w:rFonts w:eastAsia="黑体" w:hint="eastAsia"/>
          <w:sz w:val="32"/>
          <w:szCs w:val="32"/>
        </w:rPr>
        <w:t>磺胺类（总量）</w:t>
      </w:r>
    </w:p>
    <w:p w:rsidR="00903A9D" w:rsidRDefault="00686D3D">
      <w:pPr>
        <w:pStyle w:val="a6"/>
        <w:spacing w:line="580" w:lineRule="exact"/>
        <w:ind w:firstLineChars="200" w:firstLine="640"/>
        <w:rPr>
          <w:rFonts w:ascii="黑体" w:eastAsia="黑体" w:hAnsi="黑体" w:cs="黑体"/>
          <w:bCs/>
          <w:sz w:val="32"/>
          <w:szCs w:val="32"/>
        </w:rPr>
      </w:pPr>
      <w:r>
        <w:rPr>
          <w:rFonts w:ascii="仿宋_GB2312" w:eastAsia="仿宋_GB2312" w:hAnsiTheme="minorHAnsi" w:cstheme="minorBidi" w:hint="eastAsia"/>
          <w:sz w:val="32"/>
          <w:szCs w:val="32"/>
        </w:rPr>
        <w:t>磺胺类药物是合成的抑菌类兽药，除了治疗敏感菌所致传染病外，通常情况下还用于治疗传染性脑膜炎、痢疾、弓形体病。《动物性食品中兽药最高残留限量》（农业部公告第235号）规定所有食品动物的肌肉中磺胺类（总量）的限量值为100 μg/kg。</w:t>
      </w:r>
    </w:p>
    <w:p w:rsidR="00903A9D" w:rsidRDefault="00446771">
      <w:pPr>
        <w:pStyle w:val="a6"/>
        <w:spacing w:line="580" w:lineRule="exact"/>
        <w:ind w:firstLineChars="200" w:firstLine="640"/>
        <w:rPr>
          <w:rFonts w:eastAsia="黑体"/>
          <w:sz w:val="32"/>
          <w:szCs w:val="32"/>
        </w:rPr>
      </w:pPr>
      <w:r>
        <w:rPr>
          <w:rFonts w:eastAsia="黑体" w:hint="eastAsia"/>
          <w:sz w:val="32"/>
          <w:szCs w:val="32"/>
        </w:rPr>
        <w:t>五</w:t>
      </w:r>
      <w:r w:rsidR="00686D3D">
        <w:rPr>
          <w:rFonts w:eastAsia="黑体" w:hint="eastAsia"/>
          <w:sz w:val="32"/>
          <w:szCs w:val="32"/>
        </w:rPr>
        <w:t>、</w:t>
      </w:r>
      <w:r w:rsidR="00686D3D">
        <w:rPr>
          <w:rFonts w:eastAsia="黑体" w:hint="eastAsia"/>
          <w:sz w:val="32"/>
          <w:szCs w:val="32"/>
        </w:rPr>
        <w:t>6-</w:t>
      </w:r>
      <w:r w:rsidR="00686D3D">
        <w:rPr>
          <w:rFonts w:eastAsia="黑体" w:hint="eastAsia"/>
          <w:sz w:val="32"/>
          <w:szCs w:val="32"/>
        </w:rPr>
        <w:t>苄基腺嘌呤</w:t>
      </w:r>
      <w:r w:rsidR="00686D3D">
        <w:rPr>
          <w:rFonts w:ascii="黑体" w:eastAsia="黑体" w:hAnsi="黑体" w:hint="eastAsia"/>
          <w:sz w:val="32"/>
          <w:szCs w:val="32"/>
        </w:rPr>
        <w:t>、4-氯苯氧乙酸钠</w:t>
      </w:r>
    </w:p>
    <w:p w:rsidR="00903A9D" w:rsidRDefault="00686D3D">
      <w:pPr>
        <w:pStyle w:val="a6"/>
        <w:ind w:firstLineChars="200" w:firstLine="640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>6-苄基腺嘌呤、4-氯苯氧乙酸钠是植物生长调节剂。主要用于防止落花落果、抑制豆类生根，并能调节</w:t>
      </w:r>
      <w:proofErr w:type="gramStart"/>
      <w:r>
        <w:rPr>
          <w:rFonts w:ascii="仿宋_GB2312" w:eastAsia="仿宋_GB2312" w:hint="eastAsia"/>
          <w:bCs/>
          <w:sz w:val="32"/>
          <w:szCs w:val="32"/>
        </w:rPr>
        <w:t>植物株内激素</w:t>
      </w:r>
      <w:proofErr w:type="gramEnd"/>
      <w:r>
        <w:rPr>
          <w:rFonts w:ascii="仿宋_GB2312" w:eastAsia="仿宋_GB2312" w:hint="eastAsia"/>
          <w:bCs/>
          <w:sz w:val="32"/>
          <w:szCs w:val="32"/>
        </w:rPr>
        <w:t>的平衡。但由于其对人体有一定积累毒性，《国家食品药品监督管理总局、农业部、国家卫生和计划生育委员会关于豆芽生产过程中禁止使用6-苄基腺嘌呤等物质的公告》（2015年第11号）规定豆芽生产经营过程中禁止使用6-苄基腺嘌呤、4-氯苯氧乙酸钠。</w:t>
      </w:r>
    </w:p>
    <w:p w:rsidR="00903A9D" w:rsidRDefault="00446771">
      <w:pPr>
        <w:ind w:firstLineChars="196" w:firstLine="627"/>
        <w:rPr>
          <w:rFonts w:ascii="黑体" w:eastAsia="黑体" w:hAnsi="黑体"/>
          <w:bCs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六</w:t>
      </w:r>
      <w:r w:rsidR="00686D3D">
        <w:rPr>
          <w:rFonts w:ascii="黑体" w:eastAsia="黑体" w:hAnsi="黑体" w:hint="eastAsia"/>
          <w:bCs/>
          <w:sz w:val="32"/>
          <w:szCs w:val="32"/>
        </w:rPr>
        <w:t>、霉菌和酵母</w:t>
      </w:r>
    </w:p>
    <w:p w:rsidR="00903A9D" w:rsidRDefault="00686D3D">
      <w:pPr>
        <w:pStyle w:val="a6"/>
        <w:ind w:firstLineChars="200" w:firstLine="640"/>
        <w:rPr>
          <w:rFonts w:eastAsia="黑体"/>
          <w:sz w:val="32"/>
          <w:szCs w:val="32"/>
        </w:rPr>
      </w:pPr>
      <w:r>
        <w:rPr>
          <w:rFonts w:ascii="仿宋" w:eastAsia="仿宋" w:hAnsi="仿宋" w:cs="仿宋" w:hint="eastAsia"/>
          <w:color w:val="000000" w:themeColor="text1"/>
          <w:sz w:val="32"/>
          <w:szCs w:val="32"/>
          <w:shd w:val="clear" w:color="auto" w:fill="FFFFFF"/>
        </w:rPr>
        <w:t>霉菌和酵母是自然界中常见的真菌，可使食品腐败变质，破坏食品的色、香、味，降低食品的食用价值。《食品安全国家标准 食用淀粉》（GB 31637-2016）中规定霉菌和酵母应</w:t>
      </w:r>
      <w:r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t>≤</w:t>
      </w:r>
      <w:r>
        <w:rPr>
          <w:rFonts w:ascii="仿宋" w:eastAsia="仿宋" w:hAnsi="仿宋" w:cs="仿宋" w:hint="eastAsia"/>
          <w:color w:val="000000" w:themeColor="text1"/>
          <w:sz w:val="32"/>
          <w:szCs w:val="32"/>
          <w:shd w:val="clear" w:color="auto" w:fill="FFFFFF"/>
        </w:rPr>
        <w:t>10</w:t>
      </w:r>
      <w:r>
        <w:rPr>
          <w:rFonts w:ascii="仿宋" w:eastAsia="仿宋" w:hAnsi="仿宋" w:cs="仿宋" w:hint="eastAsia"/>
          <w:color w:val="000000" w:themeColor="text1"/>
          <w:sz w:val="32"/>
          <w:szCs w:val="32"/>
          <w:shd w:val="clear" w:color="auto" w:fill="FFFFFF"/>
          <w:vertAlign w:val="superscript"/>
        </w:rPr>
        <w:t>3</w:t>
      </w:r>
      <w:r>
        <w:rPr>
          <w:rFonts w:ascii="仿宋" w:eastAsia="仿宋" w:hAnsi="仿宋" w:cs="仿宋" w:hint="eastAsia"/>
          <w:color w:val="000000" w:themeColor="text1"/>
          <w:sz w:val="32"/>
          <w:szCs w:val="32"/>
          <w:shd w:val="clear" w:color="auto" w:fill="FFFFFF"/>
        </w:rPr>
        <w:t xml:space="preserve"> CFU/g。</w:t>
      </w:r>
    </w:p>
    <w:p w:rsidR="000A0EB8" w:rsidRDefault="00446771" w:rsidP="000A0EB8">
      <w:pPr>
        <w:spacing w:line="594" w:lineRule="exact"/>
        <w:ind w:firstLineChars="200" w:firstLine="592"/>
        <w:rPr>
          <w:rFonts w:ascii="Times New Roman" w:eastAsia="黑体" w:hAnsi="Times New Roman" w:cs="Times New Roman"/>
          <w:spacing w:val="-12"/>
          <w:sz w:val="32"/>
          <w:szCs w:val="32"/>
        </w:rPr>
      </w:pPr>
      <w:r>
        <w:rPr>
          <w:rFonts w:ascii="Times New Roman" w:eastAsia="黑体" w:hAnsi="Times New Roman" w:cs="Times New Roman" w:hint="eastAsia"/>
          <w:spacing w:val="-12"/>
          <w:sz w:val="32"/>
          <w:szCs w:val="32"/>
        </w:rPr>
        <w:t>七</w:t>
      </w:r>
      <w:r w:rsidR="000A0EB8">
        <w:rPr>
          <w:rFonts w:ascii="Times New Roman" w:eastAsia="黑体" w:hAnsi="Times New Roman" w:cs="Times New Roman" w:hint="eastAsia"/>
          <w:spacing w:val="-12"/>
          <w:sz w:val="32"/>
          <w:szCs w:val="32"/>
        </w:rPr>
        <w:t>、诺氟</w:t>
      </w:r>
      <w:r w:rsidR="000A0EB8">
        <w:rPr>
          <w:rFonts w:ascii="黑体" w:eastAsia="黑体" w:hAnsi="黑体" w:cs="Times New Roman" w:hint="eastAsia"/>
          <w:spacing w:val="-12"/>
          <w:sz w:val="32"/>
          <w:szCs w:val="32"/>
        </w:rPr>
        <w:t>沙星</w:t>
      </w:r>
    </w:p>
    <w:p w:rsidR="000A0EB8" w:rsidRDefault="000A0EB8" w:rsidP="000A0EB8">
      <w:pPr>
        <w:spacing w:line="594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诺氟沙</w:t>
      </w:r>
      <w:proofErr w:type="gramStart"/>
      <w:r>
        <w:rPr>
          <w:rFonts w:ascii="Times New Roman" w:eastAsia="仿宋_GB2312" w:hAnsi="Times New Roman" w:cs="Times New Roman"/>
          <w:sz w:val="32"/>
          <w:szCs w:val="32"/>
        </w:rPr>
        <w:t>星</w:t>
      </w:r>
      <w:r>
        <w:rPr>
          <w:rFonts w:ascii="仿宋_GB2312" w:eastAsia="仿宋_GB2312"/>
          <w:bCs/>
          <w:sz w:val="32"/>
          <w:szCs w:val="32"/>
        </w:rPr>
        <w:t>属于氟喹</w:t>
      </w:r>
      <w:proofErr w:type="gramEnd"/>
      <w:r>
        <w:rPr>
          <w:rFonts w:ascii="仿宋_GB2312" w:eastAsia="仿宋_GB2312"/>
          <w:bCs/>
          <w:sz w:val="32"/>
          <w:szCs w:val="32"/>
        </w:rPr>
        <w:t>诺酮类药物</w:t>
      </w:r>
      <w:r>
        <w:rPr>
          <w:rFonts w:ascii="仿宋_GB2312" w:eastAsia="仿宋_GB2312" w:hint="eastAsia"/>
          <w:bCs/>
          <w:sz w:val="32"/>
          <w:szCs w:val="32"/>
        </w:rPr>
        <w:t>，</w:t>
      </w:r>
      <w:r>
        <w:rPr>
          <w:rFonts w:ascii="Times New Roman" w:eastAsia="仿宋_GB2312" w:hAnsi="Times New Roman" w:cs="Times New Roman"/>
          <w:sz w:val="32"/>
          <w:szCs w:val="32"/>
        </w:rPr>
        <w:t>是一种广谱类杀菌剂。</w:t>
      </w:r>
      <w:r>
        <w:rPr>
          <w:rFonts w:ascii="仿宋_GB2312" w:eastAsia="仿宋_GB2312"/>
          <w:bCs/>
          <w:sz w:val="32"/>
          <w:szCs w:val="32"/>
        </w:rPr>
        <w:t>《发布在食品动物中停止使用洛美沙星、培氟沙星、氧氟沙星、诺氟沙星4种兽药的决定》（农业部公告第2292号）</w:t>
      </w:r>
      <w:r>
        <w:rPr>
          <w:rFonts w:ascii="仿宋_GB2312" w:eastAsia="仿宋_GB2312" w:hint="eastAsia"/>
          <w:bCs/>
          <w:sz w:val="32"/>
          <w:szCs w:val="32"/>
        </w:rPr>
        <w:lastRenderedPageBreak/>
        <w:t>中规定</w:t>
      </w:r>
      <w:r>
        <w:rPr>
          <w:rFonts w:ascii="仿宋_GB2312" w:eastAsia="仿宋_GB2312"/>
          <w:bCs/>
          <w:sz w:val="32"/>
          <w:szCs w:val="32"/>
        </w:rPr>
        <w:t>禁止</w:t>
      </w:r>
      <w:r>
        <w:rPr>
          <w:rFonts w:ascii="Times New Roman" w:eastAsia="仿宋_GB2312" w:hAnsi="Times New Roman" w:cs="Times New Roman"/>
          <w:sz w:val="32"/>
          <w:szCs w:val="32"/>
        </w:rPr>
        <w:t>诺氟沙</w:t>
      </w:r>
      <w:proofErr w:type="gramStart"/>
      <w:r>
        <w:rPr>
          <w:rFonts w:ascii="Times New Roman" w:eastAsia="仿宋_GB2312" w:hAnsi="Times New Roman" w:cs="Times New Roman"/>
          <w:sz w:val="32"/>
          <w:szCs w:val="32"/>
        </w:rPr>
        <w:t>星</w:t>
      </w:r>
      <w:r>
        <w:rPr>
          <w:rFonts w:ascii="仿宋_GB2312" w:eastAsia="仿宋_GB2312"/>
          <w:bCs/>
          <w:sz w:val="32"/>
          <w:szCs w:val="32"/>
        </w:rPr>
        <w:t>用于</w:t>
      </w:r>
      <w:proofErr w:type="gramEnd"/>
      <w:r>
        <w:rPr>
          <w:rFonts w:ascii="仿宋_GB2312" w:eastAsia="仿宋_GB2312"/>
          <w:bCs/>
          <w:sz w:val="32"/>
          <w:szCs w:val="32"/>
        </w:rPr>
        <w:t>食品动物，在动物性食品中不得检出。</w:t>
      </w:r>
    </w:p>
    <w:p w:rsidR="00903A9D" w:rsidRDefault="00446771">
      <w:pPr>
        <w:pStyle w:val="a6"/>
        <w:spacing w:line="580" w:lineRule="exact"/>
        <w:ind w:firstLineChars="200" w:firstLine="640"/>
        <w:rPr>
          <w:rFonts w:eastAsia="黑体"/>
          <w:sz w:val="32"/>
          <w:szCs w:val="32"/>
        </w:rPr>
      </w:pPr>
      <w:r>
        <w:rPr>
          <w:rFonts w:eastAsia="黑体" w:hint="eastAsia"/>
          <w:sz w:val="32"/>
          <w:szCs w:val="32"/>
        </w:rPr>
        <w:t>八</w:t>
      </w:r>
      <w:r w:rsidR="00686D3D">
        <w:rPr>
          <w:rFonts w:eastAsia="黑体" w:hint="eastAsia"/>
          <w:sz w:val="32"/>
          <w:szCs w:val="32"/>
        </w:rPr>
        <w:t>、镉</w:t>
      </w:r>
    </w:p>
    <w:p w:rsidR="00903A9D" w:rsidRPr="000A0EB8" w:rsidRDefault="00686D3D" w:rsidP="000A0EB8">
      <w:pPr>
        <w:pStyle w:val="a6"/>
        <w:spacing w:line="580" w:lineRule="exact"/>
        <w:ind w:firstLineChars="200" w:firstLine="640"/>
        <w:rPr>
          <w:rFonts w:ascii="仿宋_GB2312" w:eastAsia="仿宋_GB2312" w:hAnsi="仿宋" w:cs="仿宋"/>
          <w:sz w:val="32"/>
          <w:szCs w:val="32"/>
        </w:rPr>
      </w:pPr>
      <w:proofErr w:type="gramStart"/>
      <w:r>
        <w:rPr>
          <w:rFonts w:ascii="仿宋_GB2312" w:eastAsia="仿宋_GB2312" w:hAnsi="仿宋" w:cs="仿宋" w:hint="eastAsia"/>
          <w:sz w:val="32"/>
          <w:szCs w:val="32"/>
        </w:rPr>
        <w:t>镉</w:t>
      </w:r>
      <w:proofErr w:type="gramEnd"/>
      <w:r>
        <w:rPr>
          <w:rFonts w:ascii="仿宋_GB2312" w:eastAsia="仿宋_GB2312" w:hAnsi="仿宋" w:cs="仿宋" w:hint="eastAsia"/>
          <w:sz w:val="32"/>
          <w:szCs w:val="32"/>
        </w:rPr>
        <w:t>属于重金属污染物指标，联合国环境规划署（DNFP）和国际职业卫生重金属委员会将镉列入重点研究的环境污染物，世界卫生组织（WHO）则将其作为优先研究的食品污染物。《食品安全国家标准 食品中污染物限量》（GB 2762-2017）中规定鲜、冻水产动物甲壳类中镉的限量值为0.5 mg/kg；规定鲜、冻水产动物双壳类（去除内脏）中镉的限量值为2.0 mg/kg。</w:t>
      </w:r>
    </w:p>
    <w:sectPr w:rsidR="00903A9D" w:rsidRPr="000A0EB8" w:rsidSect="00A6130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1219" w:rsidRDefault="00731219" w:rsidP="00686D3D">
      <w:r>
        <w:separator/>
      </w:r>
    </w:p>
  </w:endnote>
  <w:endnote w:type="continuationSeparator" w:id="0">
    <w:p w:rsidR="00731219" w:rsidRDefault="00731219" w:rsidP="00686D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1304" w:rsidRDefault="00A61304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25839795"/>
      <w:docPartObj>
        <w:docPartGallery w:val="Page Numbers (Bottom of Page)"/>
        <w:docPartUnique/>
      </w:docPartObj>
    </w:sdtPr>
    <w:sdtContent>
      <w:bookmarkStart w:id="0" w:name="_GoBack" w:displacedByCustomXml="prev"/>
      <w:bookmarkEnd w:id="0" w:displacedByCustomXml="prev"/>
      <w:p w:rsidR="00A61304" w:rsidRDefault="00A61304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A61304">
          <w:rPr>
            <w:noProof/>
            <w:lang w:val="zh-CN"/>
          </w:rPr>
          <w:t>-</w:t>
        </w:r>
        <w:r>
          <w:rPr>
            <w:noProof/>
          </w:rPr>
          <w:t xml:space="preserve"> 1 -</w:t>
        </w:r>
        <w:r>
          <w:fldChar w:fldCharType="end"/>
        </w:r>
      </w:p>
    </w:sdtContent>
  </w:sdt>
  <w:p w:rsidR="00A61304" w:rsidRDefault="00A61304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1304" w:rsidRDefault="00A61304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1219" w:rsidRDefault="00731219" w:rsidP="00686D3D">
      <w:r>
        <w:separator/>
      </w:r>
    </w:p>
  </w:footnote>
  <w:footnote w:type="continuationSeparator" w:id="0">
    <w:p w:rsidR="00731219" w:rsidRDefault="00731219" w:rsidP="00686D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1304" w:rsidRDefault="00A61304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1304" w:rsidRDefault="00A61304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1304" w:rsidRDefault="00A6130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AA336F"/>
    <w:multiLevelType w:val="hybridMultilevel"/>
    <w:tmpl w:val="418AD0B4"/>
    <w:lvl w:ilvl="0" w:tplc="7918F82C">
      <w:start w:val="5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">
    <w:nsid w:val="5DFB1463"/>
    <w:multiLevelType w:val="singleLevel"/>
    <w:tmpl w:val="5DFB1463"/>
    <w:lvl w:ilvl="0">
      <w:start w:val="3"/>
      <w:numFmt w:val="chineseCounting"/>
      <w:suff w:val="nothing"/>
      <w:lvlText w:val="%1、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7045"/>
    <w:rsid w:val="000A0EB8"/>
    <w:rsid w:val="00115D71"/>
    <w:rsid w:val="001B4234"/>
    <w:rsid w:val="00203CEF"/>
    <w:rsid w:val="00227C98"/>
    <w:rsid w:val="002D4079"/>
    <w:rsid w:val="002F1403"/>
    <w:rsid w:val="00320337"/>
    <w:rsid w:val="00335654"/>
    <w:rsid w:val="00385653"/>
    <w:rsid w:val="004012A2"/>
    <w:rsid w:val="00446771"/>
    <w:rsid w:val="00490F04"/>
    <w:rsid w:val="00495F06"/>
    <w:rsid w:val="004A7B13"/>
    <w:rsid w:val="00507310"/>
    <w:rsid w:val="00524DAE"/>
    <w:rsid w:val="005437A0"/>
    <w:rsid w:val="005A532E"/>
    <w:rsid w:val="005C3B9C"/>
    <w:rsid w:val="005E4129"/>
    <w:rsid w:val="005F2ABB"/>
    <w:rsid w:val="0065262F"/>
    <w:rsid w:val="00660E64"/>
    <w:rsid w:val="00686D3D"/>
    <w:rsid w:val="00731219"/>
    <w:rsid w:val="007442C1"/>
    <w:rsid w:val="00762757"/>
    <w:rsid w:val="0076723A"/>
    <w:rsid w:val="007771CD"/>
    <w:rsid w:val="007A6867"/>
    <w:rsid w:val="00827383"/>
    <w:rsid w:val="00830ABC"/>
    <w:rsid w:val="008C2B4D"/>
    <w:rsid w:val="00903A9D"/>
    <w:rsid w:val="00916DDB"/>
    <w:rsid w:val="00923D48"/>
    <w:rsid w:val="00941AB8"/>
    <w:rsid w:val="00984FED"/>
    <w:rsid w:val="009C7045"/>
    <w:rsid w:val="00A40680"/>
    <w:rsid w:val="00A61304"/>
    <w:rsid w:val="00A85D79"/>
    <w:rsid w:val="00B16DD3"/>
    <w:rsid w:val="00B87DF6"/>
    <w:rsid w:val="00BA7A5C"/>
    <w:rsid w:val="00C92AC2"/>
    <w:rsid w:val="00CA6E01"/>
    <w:rsid w:val="00CC4DEC"/>
    <w:rsid w:val="00CE074F"/>
    <w:rsid w:val="00D67F5E"/>
    <w:rsid w:val="00D70BCE"/>
    <w:rsid w:val="00D70DCF"/>
    <w:rsid w:val="00DE3228"/>
    <w:rsid w:val="00E224EE"/>
    <w:rsid w:val="00E84511"/>
    <w:rsid w:val="00EE3B7B"/>
    <w:rsid w:val="00F76C16"/>
    <w:rsid w:val="00FA014A"/>
    <w:rsid w:val="07AE2006"/>
    <w:rsid w:val="13515910"/>
    <w:rsid w:val="1775494C"/>
    <w:rsid w:val="1831126E"/>
    <w:rsid w:val="1C2C6E58"/>
    <w:rsid w:val="225C3C81"/>
    <w:rsid w:val="299E2E0B"/>
    <w:rsid w:val="29FC4125"/>
    <w:rsid w:val="2A9E1780"/>
    <w:rsid w:val="333B066B"/>
    <w:rsid w:val="33B77259"/>
    <w:rsid w:val="380D2FFA"/>
    <w:rsid w:val="39997C19"/>
    <w:rsid w:val="418A341C"/>
    <w:rsid w:val="439A2AC1"/>
    <w:rsid w:val="49F133DD"/>
    <w:rsid w:val="4B0F4C04"/>
    <w:rsid w:val="4BB3766A"/>
    <w:rsid w:val="4D0714C7"/>
    <w:rsid w:val="5616109A"/>
    <w:rsid w:val="56D62CEE"/>
    <w:rsid w:val="58030A90"/>
    <w:rsid w:val="5C6C6636"/>
    <w:rsid w:val="60C1101C"/>
    <w:rsid w:val="62830167"/>
    <w:rsid w:val="645402A0"/>
    <w:rsid w:val="64B01203"/>
    <w:rsid w:val="6D17077E"/>
    <w:rsid w:val="6EC828CB"/>
    <w:rsid w:val="709B67CD"/>
    <w:rsid w:val="74210BA7"/>
    <w:rsid w:val="77504EE4"/>
    <w:rsid w:val="7807013D"/>
    <w:rsid w:val="78997A7C"/>
    <w:rsid w:val="7B0559CF"/>
    <w:rsid w:val="7E8258AE"/>
    <w:rsid w:val="7F240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 w:qFormat="1"/>
    <w:lsdException w:name="Balloon Text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qFormat/>
    <w:rPr>
      <w:rFonts w:ascii="Times New Roman" w:eastAsia="宋体" w:hAnsi="Times New Roman" w:cs="Times New Roman"/>
      <w:sz w:val="24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kern w:val="2"/>
      <w:sz w:val="18"/>
      <w:szCs w:val="18"/>
    </w:rPr>
  </w:style>
  <w:style w:type="paragraph" w:customStyle="1" w:styleId="p0">
    <w:name w:val="p0"/>
    <w:basedOn w:val="a"/>
    <w:qFormat/>
    <w:pPr>
      <w:widowControl/>
    </w:pPr>
    <w:rPr>
      <w:rFonts w:cs="宋体"/>
      <w:kern w:val="0"/>
      <w:szCs w:val="21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paragraph" w:styleId="a7">
    <w:name w:val="List Paragraph"/>
    <w:basedOn w:val="a"/>
    <w:uiPriority w:val="99"/>
    <w:unhideWhenUsed/>
    <w:rsid w:val="000A0EB8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 w:qFormat="1"/>
    <w:lsdException w:name="Balloon Text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qFormat/>
    <w:rPr>
      <w:rFonts w:ascii="Times New Roman" w:eastAsia="宋体" w:hAnsi="Times New Roman" w:cs="Times New Roman"/>
      <w:sz w:val="24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kern w:val="2"/>
      <w:sz w:val="18"/>
      <w:szCs w:val="18"/>
    </w:rPr>
  </w:style>
  <w:style w:type="paragraph" w:customStyle="1" w:styleId="p0">
    <w:name w:val="p0"/>
    <w:basedOn w:val="a"/>
    <w:qFormat/>
    <w:pPr>
      <w:widowControl/>
    </w:pPr>
    <w:rPr>
      <w:rFonts w:cs="宋体"/>
      <w:kern w:val="0"/>
      <w:szCs w:val="21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paragraph" w:styleId="a7">
    <w:name w:val="List Paragraph"/>
    <w:basedOn w:val="a"/>
    <w:uiPriority w:val="99"/>
    <w:unhideWhenUsed/>
    <w:rsid w:val="000A0EB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microsoft.com/office/2007/relationships/stylesWithEffects" Target="stylesWithEffect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11E8E92-ABEF-41E9-9AEC-C92ABF4C8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176</Words>
  <Characters>1006</Characters>
  <Application>Microsoft Office Word</Application>
  <DocSecurity>0</DocSecurity>
  <Lines>8</Lines>
  <Paragraphs>2</Paragraphs>
  <ScaleCrop>false</ScaleCrop>
  <Company>CFQS</Company>
  <LinksUpToDate>false</LinksUpToDate>
  <CharactersWithSpaces>1180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风险监测处</cp:lastModifiedBy>
  <cp:revision>5</cp:revision>
  <dcterms:created xsi:type="dcterms:W3CDTF">2019-12-20T02:37:00Z</dcterms:created>
  <dcterms:modified xsi:type="dcterms:W3CDTF">2019-12-20T07:22:00Z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</Properties>
</file>