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6F" w:rsidRDefault="007F2EED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附件15</w:t>
      </w:r>
    </w:p>
    <w:p w:rsidR="0010216F" w:rsidRDefault="007F2EED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不合格项目说明</w:t>
      </w:r>
    </w:p>
    <w:p w:rsidR="0010216F" w:rsidRDefault="007F2EED">
      <w:pPr>
        <w:pStyle w:val="a6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溴酸盐</w:t>
      </w:r>
    </w:p>
    <w:p w:rsidR="0010216F" w:rsidRDefault="007F2EED">
      <w:pPr>
        <w:pStyle w:val="a6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溴酸盐在国际上被定为2B级的潜在</w:t>
      </w:r>
      <w:hyperlink r:id="rId8" w:tgtFrame="https://baike.baidu.com/item/%E6%BA%B4%E9%85%B8%E7%9B%90/_blank" w:history="1">
        <w:r>
          <w:rPr>
            <w:rFonts w:ascii="仿宋" w:eastAsia="仿宋" w:hAnsi="仿宋" w:cs="仿宋" w:hint="eastAsia"/>
            <w:bCs/>
            <w:sz w:val="32"/>
            <w:szCs w:val="32"/>
          </w:rPr>
          <w:t>致癌物</w:t>
        </w:r>
      </w:hyperlink>
      <w:r>
        <w:rPr>
          <w:rFonts w:ascii="仿宋" w:eastAsia="仿宋" w:hAnsi="仿宋" w:cs="仿宋" w:hint="eastAsia"/>
          <w:bCs/>
          <w:sz w:val="32"/>
          <w:szCs w:val="32"/>
        </w:rPr>
        <w:t>，它是矿泉水以及</w:t>
      </w:r>
      <w:hyperlink r:id="rId9" w:tgtFrame="https://baike.baidu.com/item/%E6%BA%B4%E9%85%B8%E7%9B%90/_blank" w:history="1">
        <w:r>
          <w:rPr>
            <w:rFonts w:ascii="仿宋" w:eastAsia="仿宋" w:hAnsi="仿宋" w:cs="仿宋" w:hint="eastAsia"/>
            <w:bCs/>
            <w:sz w:val="32"/>
            <w:szCs w:val="32"/>
          </w:rPr>
          <w:t>山泉水</w:t>
        </w:r>
      </w:hyperlink>
      <w:r>
        <w:rPr>
          <w:rFonts w:ascii="仿宋" w:eastAsia="仿宋" w:hAnsi="仿宋" w:cs="仿宋" w:hint="eastAsia"/>
          <w:bCs/>
          <w:sz w:val="32"/>
          <w:szCs w:val="32"/>
        </w:rPr>
        <w:t>等多种天然水源在经过臭氧消毒后所生成的</w:t>
      </w:r>
      <w:hyperlink r:id="rId10" w:tgtFrame="https://baike.baidu.com/item/%E6%BA%B4%E9%85%B8%E7%9B%90/_blank" w:history="1">
        <w:r>
          <w:rPr>
            <w:rFonts w:ascii="仿宋" w:eastAsia="仿宋" w:hAnsi="仿宋" w:cs="仿宋" w:hint="eastAsia"/>
            <w:bCs/>
            <w:sz w:val="32"/>
            <w:szCs w:val="32"/>
          </w:rPr>
          <w:t>副产物</w:t>
        </w:r>
      </w:hyperlink>
      <w:r>
        <w:rPr>
          <w:rFonts w:ascii="仿宋" w:eastAsia="仿宋" w:hAnsi="仿宋" w:cs="仿宋" w:hint="eastAsia"/>
          <w:bCs/>
          <w:sz w:val="32"/>
          <w:szCs w:val="32"/>
        </w:rPr>
        <w:t>。《饮用天然矿泉水》（GB 8537-2008）规定，饮用天然矿泉水中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溴酸盐应小于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0.01 mg/L。本次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抽检的</w:t>
      </w:r>
      <w:r>
        <w:rPr>
          <w:rFonts w:ascii="仿宋" w:eastAsia="仿宋" w:hAnsi="仿宋" w:cs="仿宋" w:hint="eastAsia"/>
          <w:bCs/>
          <w:sz w:val="32"/>
          <w:szCs w:val="32"/>
        </w:rPr>
        <w:t>不合格样品冰山来客天然冰川矿泉水中</w:t>
      </w:r>
      <w:r>
        <w:rPr>
          <w:rFonts w:eastAsia="仿宋_GB2312"/>
          <w:bCs/>
          <w:sz w:val="32"/>
          <w:szCs w:val="32"/>
        </w:rPr>
        <w:t>，</w:t>
      </w:r>
      <w:r>
        <w:rPr>
          <w:rFonts w:ascii="仿宋" w:eastAsia="仿宋" w:hAnsi="仿宋" w:cs="仿宋" w:hint="eastAsia"/>
          <w:bCs/>
          <w:sz w:val="32"/>
          <w:szCs w:val="32"/>
        </w:rPr>
        <w:t>溴酸盐</w:t>
      </w:r>
      <w:proofErr w:type="gramStart"/>
      <w:r>
        <w:rPr>
          <w:rFonts w:eastAsia="仿宋_GB2312"/>
          <w:bCs/>
          <w:sz w:val="32"/>
          <w:szCs w:val="32"/>
        </w:rPr>
        <w:t>检出值</w:t>
      </w:r>
      <w:proofErr w:type="gramEnd"/>
      <w:r>
        <w:rPr>
          <w:rFonts w:eastAsia="仿宋_GB2312"/>
          <w:bCs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0.013 mg/L</w:t>
      </w:r>
      <w:r>
        <w:rPr>
          <w:rFonts w:eastAsia="仿宋_GB2312"/>
          <w:bCs/>
          <w:sz w:val="32"/>
          <w:szCs w:val="32"/>
        </w:rPr>
        <w:t>。</w:t>
      </w:r>
      <w:r>
        <w:rPr>
          <w:rFonts w:ascii="仿宋" w:eastAsia="仿宋" w:hAnsi="仿宋" w:cs="仿宋" w:hint="eastAsia"/>
          <w:bCs/>
          <w:sz w:val="32"/>
          <w:szCs w:val="32"/>
        </w:rPr>
        <w:t>溴酸盐不合格可能是由于水源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水采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用臭氧消毒的时间过长或者使用臭氧浓度过高，导致成品水中的溴酸盐含量偏高。</w:t>
      </w:r>
    </w:p>
    <w:p w:rsidR="0010216F" w:rsidRDefault="007F2EED">
      <w:pPr>
        <w:pStyle w:val="a6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氟虫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腈</w:t>
      </w:r>
      <w:proofErr w:type="gramEnd"/>
    </w:p>
    <w:p w:rsidR="0010216F" w:rsidRDefault="007F2EED">
      <w:pPr>
        <w:ind w:firstLineChars="196" w:firstLine="627"/>
        <w:rPr>
          <w:rFonts w:ascii="黑体" w:eastAsia="黑体" w:hAnsi="黑体" w:cs="黑体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氟虫</w:t>
      </w:r>
      <w:proofErr w:type="gramStart"/>
      <w:r>
        <w:rPr>
          <w:rFonts w:eastAsia="仿宋_GB2312"/>
          <w:bCs/>
          <w:sz w:val="32"/>
          <w:szCs w:val="32"/>
        </w:rPr>
        <w:t>腈</w:t>
      </w:r>
      <w:proofErr w:type="gramEnd"/>
      <w:r>
        <w:rPr>
          <w:rFonts w:eastAsia="仿宋_GB2312"/>
          <w:bCs/>
          <w:sz w:val="32"/>
          <w:szCs w:val="32"/>
        </w:rPr>
        <w:t>是一种苯基吡唑类杀虫剂、杀虫谱广，对作物无药害</w:t>
      </w:r>
      <w:r>
        <w:rPr>
          <w:rFonts w:eastAsia="仿宋_GB2312" w:hint="eastAsia"/>
          <w:bCs/>
          <w:sz w:val="32"/>
          <w:szCs w:val="32"/>
        </w:rPr>
        <w:t>，</w:t>
      </w:r>
      <w:r>
        <w:rPr>
          <w:rFonts w:eastAsia="仿宋_GB2312"/>
          <w:bCs/>
          <w:sz w:val="32"/>
          <w:szCs w:val="32"/>
        </w:rPr>
        <w:t>但由于其对环境极其不友好，农业部</w:t>
      </w:r>
      <w:proofErr w:type="gramStart"/>
      <w:r>
        <w:rPr>
          <w:rFonts w:eastAsia="仿宋_GB2312"/>
          <w:bCs/>
          <w:sz w:val="32"/>
          <w:szCs w:val="32"/>
        </w:rPr>
        <w:t>将氟虫腈</w:t>
      </w:r>
      <w:proofErr w:type="gramEnd"/>
      <w:r>
        <w:rPr>
          <w:rFonts w:eastAsia="仿宋_GB2312"/>
          <w:bCs/>
          <w:sz w:val="32"/>
          <w:szCs w:val="32"/>
        </w:rPr>
        <w:t>确立重点检查农药产品。</w:t>
      </w:r>
      <w:r>
        <w:rPr>
          <w:rFonts w:ascii="仿宋" w:eastAsia="仿宋" w:hAnsi="仿宋" w:cstheme="minorBidi"/>
          <w:sz w:val="32"/>
          <w:szCs w:val="32"/>
        </w:rPr>
        <w:t>农业部规定，自2009年10月1日起，除卫生用杀虫剂、玉米等部分旱田种子包衣剂外，在我国境内停止销售和使用用于其他方面的含氟虫</w:t>
      </w:r>
      <w:proofErr w:type="gramStart"/>
      <w:r>
        <w:rPr>
          <w:rFonts w:ascii="仿宋" w:eastAsia="仿宋" w:hAnsi="仿宋" w:cstheme="minorBidi"/>
          <w:sz w:val="32"/>
          <w:szCs w:val="32"/>
        </w:rPr>
        <w:t>腈</w:t>
      </w:r>
      <w:proofErr w:type="gramEnd"/>
      <w:r>
        <w:rPr>
          <w:rFonts w:ascii="仿宋" w:eastAsia="仿宋" w:hAnsi="仿宋" w:cstheme="minorBidi"/>
          <w:sz w:val="32"/>
          <w:szCs w:val="32"/>
        </w:rPr>
        <w:t>成分的农药制剂。《</w:t>
      </w:r>
      <w:r>
        <w:rPr>
          <w:rFonts w:ascii="仿宋" w:eastAsia="仿宋" w:hAnsi="仿宋" w:cstheme="minorBidi" w:hint="eastAsia"/>
          <w:sz w:val="32"/>
          <w:szCs w:val="32"/>
        </w:rPr>
        <w:t>食品安全国家标准 食品中农药最大残留限量</w:t>
      </w:r>
      <w:r>
        <w:rPr>
          <w:rFonts w:ascii="仿宋" w:eastAsia="仿宋" w:hAnsi="仿宋" w:cstheme="minorBidi"/>
          <w:sz w:val="32"/>
          <w:szCs w:val="32"/>
        </w:rPr>
        <w:t>》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（GB 2763-2016）</w:t>
      </w:r>
      <w:r>
        <w:rPr>
          <w:rFonts w:ascii="仿宋" w:eastAsia="仿宋" w:hAnsi="仿宋" w:cstheme="minorBidi"/>
          <w:sz w:val="32"/>
          <w:szCs w:val="32"/>
        </w:rPr>
        <w:t>规定，</w:t>
      </w:r>
      <w:r>
        <w:rPr>
          <w:rFonts w:ascii="仿宋" w:eastAsia="仿宋" w:hAnsi="仿宋" w:cstheme="minorBidi" w:hint="eastAsia"/>
          <w:sz w:val="32"/>
          <w:szCs w:val="32"/>
        </w:rPr>
        <w:t>叶菜类蔬菜</w:t>
      </w:r>
      <w:r>
        <w:rPr>
          <w:rFonts w:ascii="仿宋" w:eastAsia="仿宋" w:hAnsi="仿宋" w:cstheme="minorBidi"/>
          <w:sz w:val="32"/>
          <w:szCs w:val="32"/>
        </w:rPr>
        <w:t>中氟虫</w:t>
      </w:r>
      <w:proofErr w:type="gramStart"/>
      <w:r>
        <w:rPr>
          <w:rFonts w:ascii="仿宋" w:eastAsia="仿宋" w:hAnsi="仿宋" w:cstheme="minorBidi"/>
          <w:sz w:val="32"/>
          <w:szCs w:val="32"/>
        </w:rPr>
        <w:t>腈</w:t>
      </w:r>
      <w:proofErr w:type="gramEnd"/>
      <w:r>
        <w:rPr>
          <w:rFonts w:ascii="仿宋" w:eastAsia="仿宋" w:hAnsi="仿宋" w:cstheme="minorBidi"/>
          <w:sz w:val="32"/>
          <w:szCs w:val="32"/>
        </w:rPr>
        <w:t>的最大残留限量为0.02</w:t>
      </w:r>
      <w:r>
        <w:rPr>
          <w:rFonts w:ascii="仿宋" w:eastAsia="仿宋" w:hAnsi="仿宋" w:cstheme="minorBidi" w:hint="eastAsia"/>
          <w:sz w:val="32"/>
          <w:szCs w:val="32"/>
        </w:rPr>
        <w:t xml:space="preserve"> </w:t>
      </w:r>
      <w:r>
        <w:rPr>
          <w:rFonts w:ascii="仿宋" w:eastAsia="仿宋" w:hAnsi="仿宋" w:cstheme="minorBidi"/>
          <w:sz w:val="32"/>
          <w:szCs w:val="32"/>
        </w:rPr>
        <w:t>mg/kg。</w:t>
      </w:r>
      <w:r>
        <w:rPr>
          <w:rFonts w:ascii="仿宋" w:eastAsia="仿宋" w:hAnsi="仿宋" w:cs="仿宋" w:hint="eastAsia"/>
          <w:bCs/>
          <w:sz w:val="32"/>
          <w:szCs w:val="32"/>
        </w:rPr>
        <w:t>本次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抽检的</w:t>
      </w:r>
      <w:r>
        <w:rPr>
          <w:rFonts w:ascii="仿宋" w:eastAsia="仿宋" w:hAnsi="仿宋" w:cs="仿宋" w:hint="eastAsia"/>
          <w:bCs/>
          <w:sz w:val="32"/>
          <w:szCs w:val="32"/>
        </w:rPr>
        <w:t>不合格样品油麦菜中</w:t>
      </w:r>
      <w:r>
        <w:rPr>
          <w:rFonts w:eastAsia="仿宋_GB2312"/>
          <w:bCs/>
          <w:sz w:val="32"/>
          <w:szCs w:val="32"/>
        </w:rPr>
        <w:t>，</w:t>
      </w:r>
      <w:r>
        <w:rPr>
          <w:rFonts w:eastAsia="仿宋_GB2312" w:hint="eastAsia"/>
          <w:bCs/>
          <w:sz w:val="32"/>
          <w:szCs w:val="32"/>
        </w:rPr>
        <w:t>氟虫</w:t>
      </w:r>
      <w:proofErr w:type="gramStart"/>
      <w:r>
        <w:rPr>
          <w:rFonts w:eastAsia="仿宋_GB2312" w:hint="eastAsia"/>
          <w:bCs/>
          <w:sz w:val="32"/>
          <w:szCs w:val="32"/>
        </w:rPr>
        <w:t>腈</w:t>
      </w:r>
      <w:r>
        <w:rPr>
          <w:rFonts w:eastAsia="仿宋_GB2312"/>
          <w:bCs/>
          <w:sz w:val="32"/>
          <w:szCs w:val="32"/>
        </w:rPr>
        <w:t>检出值</w:t>
      </w:r>
      <w:proofErr w:type="gramEnd"/>
      <w:r>
        <w:rPr>
          <w:rFonts w:eastAsia="仿宋_GB2312"/>
          <w:bCs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0.17</w:t>
      </w:r>
      <w:r>
        <w:rPr>
          <w:rFonts w:ascii="仿宋" w:eastAsia="仿宋" w:hAnsi="仿宋" w:cstheme="minorBidi" w:hint="eastAsia"/>
          <w:sz w:val="32"/>
          <w:szCs w:val="32"/>
        </w:rPr>
        <w:t xml:space="preserve"> </w:t>
      </w:r>
      <w:r>
        <w:rPr>
          <w:rFonts w:ascii="仿宋" w:eastAsia="仿宋" w:hAnsi="仿宋" w:cstheme="minorBidi"/>
          <w:sz w:val="32"/>
          <w:szCs w:val="32"/>
        </w:rPr>
        <w:t>mg/kg</w:t>
      </w:r>
      <w:r>
        <w:rPr>
          <w:rFonts w:eastAsia="仿宋_GB2312"/>
          <w:bCs/>
          <w:sz w:val="32"/>
          <w:szCs w:val="32"/>
        </w:rPr>
        <w:t>。</w:t>
      </w:r>
      <w:r>
        <w:rPr>
          <w:rFonts w:ascii="仿宋" w:eastAsia="仿宋" w:hAnsi="仿宋" w:cs="仿宋" w:hint="eastAsia"/>
          <w:bCs/>
          <w:sz w:val="32"/>
          <w:szCs w:val="32"/>
        </w:rPr>
        <w:t>油麦菜</w:t>
      </w:r>
      <w:r>
        <w:rPr>
          <w:rFonts w:eastAsia="仿宋_GB2312"/>
          <w:bCs/>
          <w:sz w:val="32"/>
          <w:szCs w:val="32"/>
        </w:rPr>
        <w:t>中氟虫</w:t>
      </w:r>
      <w:proofErr w:type="gramStart"/>
      <w:r>
        <w:rPr>
          <w:rFonts w:eastAsia="仿宋_GB2312"/>
          <w:bCs/>
          <w:sz w:val="32"/>
          <w:szCs w:val="32"/>
        </w:rPr>
        <w:t>腈</w:t>
      </w:r>
      <w:proofErr w:type="gramEnd"/>
      <w:r>
        <w:rPr>
          <w:rFonts w:eastAsia="仿宋_GB2312"/>
          <w:bCs/>
          <w:sz w:val="32"/>
          <w:szCs w:val="32"/>
        </w:rPr>
        <w:t>超标，</w:t>
      </w:r>
      <w:r>
        <w:rPr>
          <w:rFonts w:eastAsia="仿宋_GB2312" w:hint="eastAsia"/>
          <w:bCs/>
          <w:sz w:val="32"/>
          <w:szCs w:val="32"/>
        </w:rPr>
        <w:t>原因可能是种植过程中违规使用。</w:t>
      </w:r>
    </w:p>
    <w:p w:rsidR="0010216F" w:rsidRDefault="007F2EED">
      <w:pPr>
        <w:pStyle w:val="a6"/>
        <w:spacing w:line="580" w:lineRule="exact"/>
        <w:ind w:firstLineChars="200" w:firstLine="640"/>
        <w:rPr>
          <w:rFonts w:eastAsia="黑体"/>
          <w:color w:val="000000"/>
          <w:sz w:val="32"/>
          <w:szCs w:val="32"/>
        </w:rPr>
      </w:pPr>
      <w:proofErr w:type="gramStart"/>
      <w:r>
        <w:rPr>
          <w:rFonts w:eastAsia="黑体" w:hint="eastAsia"/>
          <w:color w:val="000000"/>
          <w:sz w:val="32"/>
          <w:szCs w:val="32"/>
        </w:rPr>
        <w:lastRenderedPageBreak/>
        <w:t>腐霉利</w:t>
      </w:r>
      <w:proofErr w:type="gramEnd"/>
    </w:p>
    <w:p w:rsidR="0010216F" w:rsidRDefault="007F2EED">
      <w:pPr>
        <w:pStyle w:val="a6"/>
        <w:spacing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腐霉利属于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低毒性杀菌剂，兼具保护和治疗作用，可用于防治黄瓜、茄子、番茄、洋葱等的灰霉病，莴苣、辣椒的茎腐病，油菜菌核病等。《食品安全国家标准 食品中农药最大残留限量》（GB 2763-2016）规定，韭菜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中腐霉利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的最大残留限量为0.2 mg/kg。</w:t>
      </w:r>
      <w:r>
        <w:rPr>
          <w:rFonts w:ascii="仿宋" w:eastAsia="仿宋" w:hAnsi="仿宋" w:cs="仿宋" w:hint="eastAsia"/>
          <w:bCs/>
          <w:sz w:val="32"/>
          <w:szCs w:val="32"/>
        </w:rPr>
        <w:t>本次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抽检的</w:t>
      </w:r>
      <w:r>
        <w:rPr>
          <w:rFonts w:ascii="仿宋" w:eastAsia="仿宋" w:hAnsi="仿宋" w:cs="仿宋" w:hint="eastAsia"/>
          <w:bCs/>
          <w:sz w:val="32"/>
          <w:szCs w:val="32"/>
        </w:rPr>
        <w:t>不合格样品韭菜中，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腐霉利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的实测值为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1.54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mg/kg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韭菜中检出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腐霉利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超标可能是由于其用于防治虫害时超量使用，或者未按规定的安全间隔期使用农药。</w:t>
      </w:r>
    </w:p>
    <w:p w:rsidR="00F05C6F" w:rsidRDefault="00F05C6F" w:rsidP="00F05C6F">
      <w:pPr>
        <w:pStyle w:val="a6"/>
        <w:spacing w:line="58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铅</w:t>
      </w:r>
    </w:p>
    <w:p w:rsidR="00F05C6F" w:rsidRDefault="00F05C6F" w:rsidP="00F05C6F">
      <w:pPr>
        <w:pStyle w:val="a6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铅属于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重金属污染物指标。《食品安全国家标准 食品中污染物限量》（GB 2762-2017）规定芝麻花生酱限量值为0.2 mg/kg。本次抽检的不合格样品中，铅实测值为</w:t>
      </w:r>
      <w:r>
        <w:rPr>
          <w:rFonts w:ascii="仿宋" w:eastAsia="仿宋" w:hAnsi="仿宋" w:cs="仿宋" w:hint="eastAsia"/>
          <w:bCs/>
          <w:sz w:val="32"/>
          <w:szCs w:val="32"/>
        </w:rPr>
        <w:t>0.961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mg/kg。</w:t>
      </w:r>
      <w:r>
        <w:rPr>
          <w:rFonts w:ascii="仿宋" w:eastAsia="仿宋" w:hAnsi="仿宋" w:cs="仿宋" w:hint="eastAsia"/>
          <w:bCs/>
          <w:sz w:val="32"/>
          <w:szCs w:val="32"/>
        </w:rPr>
        <w:t>铅含量超标可能是生产企业对原料把关不严，使用了铅含量超标的原料所致，或存在污染物从生产设备迁移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入食品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的可能。</w:t>
      </w:r>
    </w:p>
    <w:p w:rsidR="003A204E" w:rsidRDefault="003A204E" w:rsidP="003A204E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克伦特罗</w:t>
      </w:r>
    </w:p>
    <w:p w:rsidR="003A204E" w:rsidRDefault="003A204E" w:rsidP="003A204E">
      <w:pPr>
        <w:pStyle w:val="a6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克伦特罗属于β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受体激动剂类药物，被称之为“瘦肉精”，具有促进动物体蛋白质沉积、促进脂肪分解、抑制脂肪沉积，提高胴体的瘦肉率、增重和提高饲料转化率的作用，</w:t>
      </w:r>
      <w:r>
        <w:rPr>
          <w:rFonts w:eastAsia="仿宋_GB2312" w:hint="eastAsia"/>
          <w:bCs/>
          <w:sz w:val="32"/>
          <w:szCs w:val="32"/>
        </w:rPr>
        <w:t>添加到</w:t>
      </w:r>
      <w:r>
        <w:rPr>
          <w:rFonts w:eastAsia="仿宋_GB2312"/>
          <w:bCs/>
          <w:sz w:val="32"/>
          <w:szCs w:val="32"/>
        </w:rPr>
        <w:t>牛、羊、猪等</w:t>
      </w:r>
      <w:r>
        <w:rPr>
          <w:rFonts w:eastAsia="仿宋_GB2312" w:hint="eastAsia"/>
          <w:bCs/>
          <w:sz w:val="32"/>
          <w:szCs w:val="32"/>
        </w:rPr>
        <w:t>畜类动物的饲料中，可以</w:t>
      </w:r>
      <w:r>
        <w:rPr>
          <w:rFonts w:eastAsia="仿宋_GB2312"/>
          <w:bCs/>
          <w:sz w:val="32"/>
          <w:szCs w:val="32"/>
        </w:rPr>
        <w:t>增加动物的瘦肉量、减少饲料使用、使肉品提早上市、降低成本。人食用含有</w:t>
      </w:r>
      <w:r>
        <w:rPr>
          <w:rFonts w:eastAsia="仿宋_GB2312" w:hint="eastAsia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瘦肉精</w:t>
      </w:r>
      <w:r>
        <w:rPr>
          <w:rFonts w:eastAsia="仿宋_GB2312" w:hint="eastAsia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的动物性</w:t>
      </w:r>
      <w:r>
        <w:rPr>
          <w:rFonts w:eastAsia="仿宋_GB2312" w:hint="eastAsia"/>
          <w:bCs/>
          <w:sz w:val="32"/>
          <w:szCs w:val="32"/>
        </w:rPr>
        <w:t>食品</w:t>
      </w:r>
      <w:r>
        <w:rPr>
          <w:rFonts w:eastAsia="仿宋_GB2312"/>
          <w:bCs/>
          <w:sz w:val="32"/>
          <w:szCs w:val="32"/>
        </w:rPr>
        <w:t>，如残留量达到一定程度，会</w:t>
      </w:r>
      <w:r>
        <w:rPr>
          <w:rFonts w:eastAsia="仿宋_GB2312"/>
          <w:bCs/>
          <w:sz w:val="32"/>
          <w:szCs w:val="32"/>
        </w:rPr>
        <w:lastRenderedPageBreak/>
        <w:t>出现毒副作用</w:t>
      </w:r>
      <w:r>
        <w:rPr>
          <w:rFonts w:eastAsia="仿宋_GB2312" w:hint="eastAsia"/>
          <w:bCs/>
          <w:sz w:val="32"/>
          <w:szCs w:val="32"/>
        </w:rPr>
        <w:t>，有可能引起人体四肢、面、颈部骨骼肌震颤，内分泌紊乱。我国对动物性食品中克伦特罗有严格的规定，</w:t>
      </w:r>
      <w:r>
        <w:rPr>
          <w:rFonts w:eastAsia="仿宋_GB2312"/>
          <w:color w:val="000000"/>
          <w:sz w:val="32"/>
          <w:szCs w:val="32"/>
        </w:rPr>
        <w:t>农业部公告第</w:t>
      </w:r>
      <w:r>
        <w:rPr>
          <w:rFonts w:eastAsia="仿宋_GB2312"/>
          <w:color w:val="000000"/>
          <w:sz w:val="32"/>
          <w:szCs w:val="32"/>
        </w:rPr>
        <w:t>235</w:t>
      </w:r>
      <w:r>
        <w:rPr>
          <w:rFonts w:eastAsia="仿宋_GB2312"/>
          <w:color w:val="000000"/>
          <w:sz w:val="32"/>
          <w:szCs w:val="32"/>
        </w:rPr>
        <w:t>号规定，克伦特罗是禁止使用的药物，在动物性食品中不得检出。</w:t>
      </w:r>
      <w:r>
        <w:rPr>
          <w:rFonts w:eastAsia="仿宋_GB2312"/>
          <w:bCs/>
          <w:sz w:val="32"/>
          <w:szCs w:val="32"/>
        </w:rPr>
        <w:t>全国食品安全整顿工作办公室</w:t>
      </w:r>
      <w:r>
        <w:rPr>
          <w:rFonts w:eastAsia="仿宋_GB2312" w:hint="eastAsia"/>
          <w:bCs/>
          <w:sz w:val="32"/>
          <w:szCs w:val="32"/>
        </w:rPr>
        <w:t>印发的</w:t>
      </w:r>
      <w:r>
        <w:rPr>
          <w:rFonts w:eastAsia="仿宋_GB2312" w:hint="eastAsia"/>
          <w:sz w:val="32"/>
          <w:szCs w:val="32"/>
        </w:rPr>
        <w:t>《食品中可能违法添加的非食用物质和易滥用的食品添加剂名单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第四批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》</w:t>
      </w: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整顿办函</w:t>
      </w:r>
      <w:r>
        <w:rPr>
          <w:rFonts w:eastAsia="仿宋_GB2312" w:hint="eastAsia"/>
          <w:sz w:val="32"/>
          <w:szCs w:val="32"/>
        </w:rPr>
        <w:t>[2010]50</w:t>
      </w:r>
      <w:r>
        <w:rPr>
          <w:rFonts w:eastAsia="仿宋_GB2312" w:hint="eastAsia"/>
          <w:sz w:val="32"/>
          <w:szCs w:val="32"/>
        </w:rPr>
        <w:t>号）将克伦特罗列为非食用物质。本次抽检的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不合格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牛腱子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样品中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" w:hint="eastAsia"/>
          <w:color w:val="000000"/>
          <w:sz w:val="32"/>
          <w:szCs w:val="32"/>
          <w:shd w:val="clear" w:color="auto" w:fill="FFFFFF"/>
        </w:rPr>
        <w:t>克伦特罗</w:t>
      </w:r>
      <w:r>
        <w:rPr>
          <w:rFonts w:eastAsia="仿宋" w:hint="eastAsia"/>
          <w:sz w:val="32"/>
          <w:szCs w:val="32"/>
        </w:rPr>
        <w:t>实测</w:t>
      </w:r>
      <w:r>
        <w:rPr>
          <w:rFonts w:ascii="仿宋" w:eastAsia="仿宋" w:hAnsi="仿宋" w:cs="仿宋" w:hint="eastAsia"/>
          <w:sz w:val="32"/>
          <w:szCs w:val="32"/>
        </w:rPr>
        <w:t>值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为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0.671 μg/kg</w:t>
      </w:r>
      <w:r>
        <w:rPr>
          <w:rFonts w:eastAsia="仿宋_GB2312"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牛腱子</w:t>
      </w:r>
      <w:r>
        <w:rPr>
          <w:rFonts w:eastAsia="仿宋_GB2312" w:hint="eastAsia"/>
          <w:sz w:val="32"/>
          <w:szCs w:val="32"/>
        </w:rPr>
        <w:t>中检出克伦特罗的原因可能是养殖过程中喂食了含有瘦肉精的饲料。</w:t>
      </w:r>
    </w:p>
    <w:p w:rsidR="0010216F" w:rsidRPr="003A204E" w:rsidRDefault="0010216F">
      <w:pPr>
        <w:pStyle w:val="a6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bookmarkStart w:id="0" w:name="_GoBack"/>
      <w:bookmarkEnd w:id="0"/>
    </w:p>
    <w:sectPr w:rsidR="0010216F" w:rsidRPr="003A2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D3F" w:rsidRDefault="00CA7D3F" w:rsidP="007F2EED">
      <w:r>
        <w:separator/>
      </w:r>
    </w:p>
  </w:endnote>
  <w:endnote w:type="continuationSeparator" w:id="0">
    <w:p w:rsidR="00CA7D3F" w:rsidRDefault="00CA7D3F" w:rsidP="007F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D3F" w:rsidRDefault="00CA7D3F" w:rsidP="007F2EED">
      <w:r>
        <w:separator/>
      </w:r>
    </w:p>
  </w:footnote>
  <w:footnote w:type="continuationSeparator" w:id="0">
    <w:p w:rsidR="00CA7D3F" w:rsidRDefault="00CA7D3F" w:rsidP="007F2EE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yht">
    <w15:presenceInfo w15:providerId="WPS Office" w15:userId="36941944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69"/>
    <w:rsid w:val="0000782D"/>
    <w:rsid w:val="000C7BCF"/>
    <w:rsid w:val="0010216F"/>
    <w:rsid w:val="001D1E1D"/>
    <w:rsid w:val="00233FA2"/>
    <w:rsid w:val="0027715F"/>
    <w:rsid w:val="00303B26"/>
    <w:rsid w:val="00332BDA"/>
    <w:rsid w:val="00347B67"/>
    <w:rsid w:val="00361D8D"/>
    <w:rsid w:val="003868E5"/>
    <w:rsid w:val="00391AAC"/>
    <w:rsid w:val="00395133"/>
    <w:rsid w:val="003A204E"/>
    <w:rsid w:val="003F5F1D"/>
    <w:rsid w:val="004208CF"/>
    <w:rsid w:val="00434834"/>
    <w:rsid w:val="00435AF3"/>
    <w:rsid w:val="004433BD"/>
    <w:rsid w:val="004628F4"/>
    <w:rsid w:val="004D60DD"/>
    <w:rsid w:val="005E4555"/>
    <w:rsid w:val="00672B4E"/>
    <w:rsid w:val="006A5FEE"/>
    <w:rsid w:val="006C0849"/>
    <w:rsid w:val="006F19A9"/>
    <w:rsid w:val="007419BB"/>
    <w:rsid w:val="007908FD"/>
    <w:rsid w:val="007E5B94"/>
    <w:rsid w:val="007F2EED"/>
    <w:rsid w:val="00854C0E"/>
    <w:rsid w:val="009618F7"/>
    <w:rsid w:val="009B5C17"/>
    <w:rsid w:val="009C31E9"/>
    <w:rsid w:val="009D634D"/>
    <w:rsid w:val="009E7A69"/>
    <w:rsid w:val="00A24B09"/>
    <w:rsid w:val="00A73DAA"/>
    <w:rsid w:val="00AE501C"/>
    <w:rsid w:val="00AF3CD9"/>
    <w:rsid w:val="00AF5E24"/>
    <w:rsid w:val="00B543EF"/>
    <w:rsid w:val="00B71F88"/>
    <w:rsid w:val="00BD7A45"/>
    <w:rsid w:val="00BE0313"/>
    <w:rsid w:val="00C86A85"/>
    <w:rsid w:val="00CA7D3F"/>
    <w:rsid w:val="00D8691A"/>
    <w:rsid w:val="00DD3BA7"/>
    <w:rsid w:val="00DE0EDD"/>
    <w:rsid w:val="00E9232A"/>
    <w:rsid w:val="00E96A7A"/>
    <w:rsid w:val="00EB0825"/>
    <w:rsid w:val="00F05C6F"/>
    <w:rsid w:val="00F223A6"/>
    <w:rsid w:val="00F271AB"/>
    <w:rsid w:val="00F752B7"/>
    <w:rsid w:val="00FE347D"/>
    <w:rsid w:val="00FF6EAB"/>
    <w:rsid w:val="064C2310"/>
    <w:rsid w:val="08F07081"/>
    <w:rsid w:val="09A225B2"/>
    <w:rsid w:val="1045680C"/>
    <w:rsid w:val="10F95C0E"/>
    <w:rsid w:val="14AA65BE"/>
    <w:rsid w:val="154002E1"/>
    <w:rsid w:val="18670839"/>
    <w:rsid w:val="1A043301"/>
    <w:rsid w:val="1A126C9B"/>
    <w:rsid w:val="1C725524"/>
    <w:rsid w:val="1E7A120A"/>
    <w:rsid w:val="237C0889"/>
    <w:rsid w:val="244346CB"/>
    <w:rsid w:val="2AAD66C0"/>
    <w:rsid w:val="2C4115B0"/>
    <w:rsid w:val="2C4E43D4"/>
    <w:rsid w:val="2C5A4C60"/>
    <w:rsid w:val="2F5B4361"/>
    <w:rsid w:val="33B64DD3"/>
    <w:rsid w:val="3C8C3F9F"/>
    <w:rsid w:val="3F1D506C"/>
    <w:rsid w:val="43DE6F7D"/>
    <w:rsid w:val="453B211F"/>
    <w:rsid w:val="4FC4687F"/>
    <w:rsid w:val="59AB1698"/>
    <w:rsid w:val="5E7B09A6"/>
    <w:rsid w:val="5F3F5C57"/>
    <w:rsid w:val="6032610E"/>
    <w:rsid w:val="61860E9F"/>
    <w:rsid w:val="622B4095"/>
    <w:rsid w:val="62D154B6"/>
    <w:rsid w:val="65924D3E"/>
    <w:rsid w:val="67576113"/>
    <w:rsid w:val="67797E87"/>
    <w:rsid w:val="69276DF3"/>
    <w:rsid w:val="6E2148A0"/>
    <w:rsid w:val="6E94333E"/>
    <w:rsid w:val="6EB36DA3"/>
    <w:rsid w:val="6ECB6612"/>
    <w:rsid w:val="6F286B4D"/>
    <w:rsid w:val="7147713F"/>
    <w:rsid w:val="720045D8"/>
    <w:rsid w:val="74E432B6"/>
    <w:rsid w:val="753130AB"/>
    <w:rsid w:val="76F433AE"/>
    <w:rsid w:val="781A72E9"/>
    <w:rsid w:val="7B963F4B"/>
    <w:rsid w:val="7CF45155"/>
    <w:rsid w:val="7D6C5F8E"/>
    <w:rsid w:val="7FCC0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sz w:val="24"/>
      <w:szCs w:val="22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sz w:val="24"/>
      <w:szCs w:val="22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8%87%B4%E7%99%8C%E7%89%A9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ike.baidu.com/item/%E5%89%AF%E4%BA%A7%E7%89%A9/55938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5%B1%B1%E6%B3%89%E6%B0%B4/339304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1424</Characters>
  <Application>Microsoft Office Word</Application>
  <DocSecurity>0</DocSecurity>
  <Lines>11</Lines>
  <Paragraphs>3</Paragraphs>
  <ScaleCrop>false</ScaleCrop>
  <Company>CFQS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jianing</cp:lastModifiedBy>
  <cp:revision>4</cp:revision>
  <dcterms:created xsi:type="dcterms:W3CDTF">2018-08-24T03:50:00Z</dcterms:created>
  <dcterms:modified xsi:type="dcterms:W3CDTF">2018-08-27T02:29:00Z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