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ustomizations.xml" ContentType="application/vnd.ms-word.keyMapCustomization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594" w:lineRule="exact"/>
        <w:jc w:val="center"/>
        <w:rPr>
          <w:rFonts w:hint="eastAsia" w:ascii="Times New Roman" w:hAnsi="Times New Roman" w:eastAsia="方正小标宋简体" w:cs="Times New Roman"/>
          <w:color w:val="000000"/>
          <w:sz w:val="32"/>
          <w:szCs w:val="32"/>
        </w:rPr>
      </w:pPr>
      <w:r>
        <w:rPr>
          <w:rFonts w:hint="eastAsia" w:ascii="Times New Roman" w:hAnsi="Times New Roman" w:eastAsia="方正小标宋简体" w:cs="Times New Roman"/>
          <w:color w:val="000000"/>
          <w:sz w:val="32"/>
          <w:szCs w:val="32"/>
        </w:rPr>
        <w:t>2025年北京市能效标识产品(交流接触器)</w:t>
      </w:r>
    </w:p>
    <w:p>
      <w:pPr>
        <w:adjustRightInd w:val="0"/>
        <w:snapToGrid w:val="0"/>
        <w:spacing w:line="594" w:lineRule="exact"/>
        <w:jc w:val="center"/>
        <w:rPr>
          <w:b/>
          <w:bCs/>
        </w:rPr>
      </w:pPr>
      <w:r>
        <w:rPr>
          <w:rFonts w:hint="eastAsia" w:ascii="Times New Roman" w:hAnsi="Times New Roman" w:eastAsia="方正小标宋简体" w:cs="Times New Roman"/>
          <w:color w:val="000000"/>
          <w:sz w:val="32"/>
          <w:szCs w:val="32"/>
        </w:rPr>
        <w:t>监督抽查实施细则</w:t>
      </w:r>
    </w:p>
    <w:p>
      <w:pPr>
        <w:snapToGrid w:val="0"/>
        <w:spacing w:line="440" w:lineRule="exact"/>
        <w:rPr>
          <w:rFonts w:hint="eastAsia" w:ascii="Times New Roman" w:hAnsi="Times New Roman" w:eastAsia="宋体" w:cs="Times New Roman"/>
          <w:b/>
          <w:bCs/>
          <w:color w:val="000000"/>
        </w:rPr>
      </w:pPr>
    </w:p>
    <w:p>
      <w:pPr>
        <w:snapToGrid w:val="0"/>
        <w:spacing w:line="440" w:lineRule="exact"/>
        <w:rPr>
          <w:rFonts w:hint="eastAsia" w:ascii="Times New Roman" w:hAnsi="Times New Roman" w:eastAsia="宋体" w:cs="Times New Roman"/>
          <w:b/>
          <w:bCs/>
          <w:color w:val="000000"/>
        </w:rPr>
      </w:pPr>
      <w:r>
        <w:rPr>
          <w:rFonts w:hint="eastAsia" w:ascii="Times New Roman" w:hAnsi="Times New Roman" w:eastAsia="宋体" w:cs="Times New Roman"/>
          <w:b/>
          <w:bCs/>
          <w:color w:val="000000"/>
        </w:rPr>
        <w:t>1抽样方法</w:t>
      </w:r>
    </w:p>
    <w:p>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rPr>
      </w:pPr>
      <w:r>
        <w:rPr>
          <w:rFonts w:hint="eastAsia"/>
        </w:rPr>
        <w:t>1.1样品应由抽样人员从被抽样经营主体成品库、货架或产品集中存放地具有质量检验合格证明的待销产品中随机抽取。</w:t>
      </w:r>
    </w:p>
    <w:p>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rPr>
      </w:pPr>
      <w:r>
        <w:rPr>
          <w:rFonts w:hint="default"/>
        </w:rPr>
        <w:t>1.2抽样基数满足抽样数量即可，使用随机数表、随机数骰子或扑克牌等方法抽取同一</w:t>
      </w:r>
      <w:r>
        <w:rPr>
          <w:rFonts w:hint="eastAsia"/>
          <w:lang w:val="en-US" w:eastAsia="zh-CN"/>
        </w:rPr>
        <w:t>批次</w:t>
      </w:r>
      <w:r>
        <w:rPr>
          <w:rFonts w:hint="default"/>
          <w:highlight w:val="none"/>
        </w:rPr>
        <w:t>产品</w:t>
      </w:r>
      <w:r>
        <w:rPr>
          <w:rFonts w:hint="eastAsia"/>
          <w:highlight w:val="none"/>
          <w:lang w:eastAsia="zh-CN"/>
        </w:rPr>
        <w:t>（</w:t>
      </w:r>
      <w:r>
        <w:rPr>
          <w:rFonts w:hint="eastAsia"/>
          <w:highlight w:val="none"/>
        </w:rPr>
        <w:t>指同一生产企业、同一标准生产、同一商标、同一规格型号</w:t>
      </w:r>
      <w:r>
        <w:rPr>
          <w:rFonts w:hint="eastAsia"/>
          <w:highlight w:val="none"/>
          <w:lang w:eastAsia="zh-CN"/>
        </w:rPr>
        <w:t>）</w:t>
      </w:r>
      <w:r>
        <w:rPr>
          <w:rFonts w:hint="default"/>
          <w:highlight w:val="none"/>
        </w:rPr>
        <w:t>为样品。每批次产品抽取样品2台，其中1台作为检验样品，1台作为备用样品</w:t>
      </w:r>
      <w:r>
        <w:rPr>
          <w:rFonts w:hint="eastAsia"/>
          <w:highlight w:val="none"/>
          <w:lang w:eastAsia="zh-CN"/>
        </w:rPr>
        <w:t>（</w:t>
      </w:r>
      <w:r>
        <w:rPr>
          <w:rFonts w:hint="eastAsia"/>
          <w:highlight w:val="none"/>
          <w:lang w:val="en-US" w:eastAsia="zh-CN"/>
        </w:rPr>
        <w:t>封存于被抽样单位</w:t>
      </w:r>
      <w:r>
        <w:rPr>
          <w:rFonts w:hint="eastAsia"/>
          <w:highlight w:val="none"/>
          <w:lang w:eastAsia="zh-CN"/>
        </w:rPr>
        <w:t>）</w:t>
      </w:r>
      <w:r>
        <w:rPr>
          <w:rFonts w:hint="default"/>
          <w:highlight w:val="none"/>
        </w:rPr>
        <w:t>。</w:t>
      </w:r>
    </w:p>
    <w:p>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rPr>
      </w:pPr>
      <w:r>
        <w:rPr>
          <w:rFonts w:hint="default"/>
        </w:rPr>
        <w:t>1.3被抽样经营主体应根据实际情况自行填写《能效水效标识产品监督抽查信息确认单》，对抽查样品需要事先说明或检验需要的信息予以确认。</w:t>
      </w:r>
    </w:p>
    <w:p>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rPr>
      </w:pPr>
      <w:r>
        <w:rPr>
          <w:rFonts w:hint="default"/>
        </w:rPr>
        <w:t>1.4样品及抽样单内容由被抽样经营主体经手人确认无误后，在抽样单上签署意见并签字、加盖公章。</w:t>
      </w:r>
    </w:p>
    <w:p>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rPr>
      </w:pPr>
      <w:r>
        <w:rPr>
          <w:rFonts w:hint="default"/>
        </w:rPr>
        <w:t>1.5当场封存样品，加贴封样单，封样单上应有被抽样经营主体经手人签名、抽样人员签名、抽样单位公章、抽样日期及抽样单编号。</w:t>
      </w:r>
    </w:p>
    <w:p>
      <w:pPr>
        <w:keepNext w:val="0"/>
        <w:keepLines w:val="0"/>
        <w:pageBreakBefore w:val="0"/>
        <w:widowControl/>
        <w:kinsoku/>
        <w:wordWrap/>
        <w:overflowPunct/>
        <w:topLinePunct w:val="0"/>
        <w:autoSpaceDE/>
        <w:autoSpaceDN/>
        <w:bidi w:val="0"/>
        <w:adjustRightInd/>
        <w:snapToGrid/>
        <w:spacing w:line="360" w:lineRule="auto"/>
        <w:textAlignment w:val="auto"/>
      </w:pPr>
      <w:r>
        <w:rPr>
          <w:rFonts w:hint="default"/>
        </w:rPr>
        <w:t>1.6抽样人员负责将检验用样品携带或寄送到指定的检验机构。</w:t>
      </w:r>
    </w:p>
    <w:p>
      <w:pPr>
        <w:snapToGrid w:val="0"/>
        <w:spacing w:line="440" w:lineRule="exact"/>
        <w:rPr>
          <w:rFonts w:hint="eastAsia" w:ascii="Times New Roman" w:hAnsi="Times New Roman" w:eastAsia="宋体" w:cs="Times New Roman"/>
          <w:b/>
          <w:bCs/>
          <w:color w:val="000000"/>
        </w:rPr>
      </w:pPr>
      <w:r>
        <w:rPr>
          <w:rFonts w:hint="eastAsia" w:ascii="Times New Roman" w:hAnsi="Times New Roman" w:eastAsia="宋体" w:cs="Times New Roman"/>
          <w:b/>
          <w:bCs/>
          <w:color w:val="000000"/>
        </w:rPr>
        <w:t>2检验方法</w:t>
      </w:r>
    </w:p>
    <w:p>
      <w:pPr>
        <w:snapToGrid w:val="0"/>
        <w:spacing w:line="440" w:lineRule="exact"/>
        <w:rPr>
          <w:rFonts w:hint="eastAsia" w:ascii="Times New Roman" w:hAnsi="Times New Roman" w:eastAsia="宋体" w:cs="Times New Roman"/>
          <w:b/>
          <w:bCs/>
          <w:color w:val="000000"/>
        </w:rPr>
      </w:pPr>
      <w:r>
        <w:rPr>
          <w:rFonts w:hint="eastAsia" w:ascii="Times New Roman" w:hAnsi="Times New Roman" w:eastAsia="宋体" w:cs="Times New Roman"/>
          <w:b/>
          <w:bCs/>
          <w:color w:val="000000"/>
        </w:rPr>
        <w:t>2.1检验与判定依据</w:t>
      </w:r>
    </w:p>
    <w:p>
      <w:pPr>
        <w:keepNext w:val="0"/>
        <w:keepLines w:val="0"/>
        <w:pageBreakBefore w:val="0"/>
        <w:widowControl/>
        <w:kinsoku/>
        <w:wordWrap/>
        <w:overflowPunct/>
        <w:topLinePunct w:val="0"/>
        <w:autoSpaceDE/>
        <w:autoSpaceDN/>
        <w:bidi w:val="0"/>
        <w:adjustRightInd/>
        <w:snapToGrid/>
        <w:spacing w:line="360" w:lineRule="auto"/>
        <w:textAlignment w:val="auto"/>
        <w:rPr>
          <w:rFonts w:hint="default"/>
          <w:lang w:val="en-US" w:eastAsia="zh-CN"/>
        </w:rPr>
      </w:pPr>
      <w:r>
        <w:rPr>
          <w:rFonts w:hint="default"/>
          <w:lang w:val="en-US" w:eastAsia="zh-CN"/>
        </w:rPr>
        <w:t>GB 21518-2022《交流接触器能效限定值及能效等级》</w:t>
      </w:r>
    </w:p>
    <w:p>
      <w:pPr>
        <w:keepNext w:val="0"/>
        <w:keepLines w:val="0"/>
        <w:pageBreakBefore w:val="0"/>
        <w:widowControl/>
        <w:kinsoku/>
        <w:wordWrap/>
        <w:overflowPunct/>
        <w:topLinePunct w:val="0"/>
        <w:autoSpaceDE/>
        <w:autoSpaceDN/>
        <w:bidi w:val="0"/>
        <w:adjustRightInd/>
        <w:snapToGrid/>
        <w:spacing w:line="360" w:lineRule="auto"/>
        <w:textAlignment w:val="auto"/>
        <w:rPr>
          <w:rFonts w:hint="default"/>
        </w:rPr>
      </w:pPr>
      <w:r>
        <w:rPr>
          <w:rFonts w:hint="default"/>
        </w:rPr>
        <w:t>CEL0</w:t>
      </w:r>
      <w:r>
        <w:rPr>
          <w:rFonts w:hint="eastAsia"/>
          <w:lang w:val="en-US" w:eastAsia="zh-CN"/>
        </w:rPr>
        <w:t>18</w:t>
      </w:r>
      <w:r>
        <w:rPr>
          <w:rFonts w:hint="default"/>
        </w:rPr>
        <w:t>-2023《交流接触器能源效率标识实施规则》</w:t>
      </w:r>
    </w:p>
    <w:p>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rPr>
      </w:pPr>
      <w:r>
        <w:rPr>
          <w:rFonts w:hint="eastAsia"/>
        </w:rPr>
        <w:t>产品明示能效质量要求</w:t>
      </w:r>
    </w:p>
    <w:p>
      <w:pPr>
        <w:snapToGrid w:val="0"/>
        <w:spacing w:line="440" w:lineRule="exact"/>
        <w:rPr>
          <w:rFonts w:hint="eastAsia" w:ascii="Times New Roman" w:hAnsi="Times New Roman" w:eastAsia="宋体" w:cs="Times New Roman"/>
          <w:b/>
          <w:bCs/>
          <w:color w:val="000000"/>
        </w:rPr>
      </w:pPr>
      <w:r>
        <w:rPr>
          <w:rFonts w:hint="default" w:ascii="Times New Roman" w:hAnsi="Times New Roman" w:eastAsia="宋体" w:cs="Times New Roman"/>
          <w:b/>
          <w:bCs/>
          <w:color w:val="000000"/>
        </w:rPr>
        <w:t>2.2检验方法</w:t>
      </w: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autofit"/>
        <w:tblCellMar>
          <w:top w:w="0" w:type="dxa"/>
          <w:left w:w="0" w:type="dxa"/>
          <w:bottom w:w="0" w:type="dxa"/>
          <w:right w:w="0" w:type="dxa"/>
        </w:tblCellMar>
      </w:tblPr>
      <w:tblGrid>
        <w:gridCol w:w="840"/>
        <w:gridCol w:w="1260"/>
        <w:gridCol w:w="2072"/>
        <w:gridCol w:w="20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blHeader/>
          <w:jc w:val="center"/>
        </w:trPr>
        <w:tc>
          <w:tcPr>
            <w:tcW w:w="0" w:type="auto"/>
            <w:shd w:val="clear" w:color="auto" w:fill="auto"/>
            <w:tcMar>
              <w:top w:w="139" w:type="dxa"/>
              <w:left w:w="210" w:type="dxa"/>
              <w:bottom w:w="139" w:type="dxa"/>
              <w:right w:w="210" w:type="dxa"/>
            </w:tcMar>
            <w:vAlign w:val="center"/>
          </w:tcPr>
          <w:p>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rPr>
            </w:pPr>
            <w:r>
              <w:rPr>
                <w:rFonts w:hint="eastAsia"/>
                <w:lang w:val="en-US" w:eastAsia="zh-CN"/>
              </w:rPr>
              <w:t>序号</w:t>
            </w:r>
          </w:p>
        </w:tc>
        <w:tc>
          <w:tcPr>
            <w:tcW w:w="1260" w:type="dxa"/>
            <w:shd w:val="clear" w:color="auto" w:fill="auto"/>
            <w:tcMar>
              <w:top w:w="139" w:type="dxa"/>
              <w:left w:w="210" w:type="dxa"/>
              <w:bottom w:w="139" w:type="dxa"/>
              <w:right w:w="210" w:type="dxa"/>
            </w:tcMar>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rPr>
            </w:pPr>
            <w:r>
              <w:rPr>
                <w:rFonts w:hint="eastAsia"/>
                <w:lang w:val="en-US" w:eastAsia="zh-CN"/>
              </w:rPr>
              <w:t>检验项目</w:t>
            </w:r>
          </w:p>
        </w:tc>
        <w:tc>
          <w:tcPr>
            <w:tcW w:w="1737" w:type="dxa"/>
            <w:shd w:val="clear" w:color="auto" w:fill="auto"/>
            <w:tcMar>
              <w:top w:w="139" w:type="dxa"/>
              <w:left w:w="210" w:type="dxa"/>
              <w:bottom w:w="139" w:type="dxa"/>
              <w:right w:w="210" w:type="dxa"/>
            </w:tcMar>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rPr>
            </w:pPr>
            <w:r>
              <w:rPr>
                <w:rFonts w:hint="eastAsia"/>
                <w:lang w:val="en-US" w:eastAsia="zh-CN"/>
              </w:rPr>
              <w:t>检验依据</w:t>
            </w:r>
          </w:p>
        </w:tc>
        <w:tc>
          <w:tcPr>
            <w:tcW w:w="1737" w:type="dxa"/>
            <w:shd w:val="clear" w:color="auto" w:fill="auto"/>
            <w:tcMar>
              <w:top w:w="139" w:type="dxa"/>
              <w:left w:w="210" w:type="dxa"/>
              <w:bottom w:w="139" w:type="dxa"/>
              <w:right w:w="210" w:type="dxa"/>
            </w:tcMar>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rPr>
            </w:pPr>
            <w:r>
              <w:rPr>
                <w:rFonts w:hint="eastAsia"/>
                <w:lang w:val="en-US" w:eastAsia="zh-CN"/>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jc w:val="center"/>
        </w:trPr>
        <w:tc>
          <w:tcPr>
            <w:tcW w:w="0" w:type="auto"/>
            <w:shd w:val="clear" w:color="auto" w:fill="auto"/>
            <w:tcMar>
              <w:top w:w="139" w:type="dxa"/>
              <w:left w:w="210" w:type="dxa"/>
              <w:bottom w:w="139" w:type="dxa"/>
              <w:right w:w="210" w:type="dxa"/>
            </w:tcMar>
            <w:vAlign w:val="center"/>
          </w:tcPr>
          <w:p>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rPr>
            </w:pPr>
            <w:r>
              <w:rPr>
                <w:rFonts w:hint="default"/>
                <w:lang w:val="en-US" w:eastAsia="zh-CN"/>
              </w:rPr>
              <w:t>1</w:t>
            </w:r>
          </w:p>
        </w:tc>
        <w:tc>
          <w:tcPr>
            <w:tcW w:w="0" w:type="auto"/>
            <w:shd w:val="clear" w:color="auto" w:fill="auto"/>
            <w:tcMar>
              <w:top w:w="139" w:type="dxa"/>
              <w:left w:w="210" w:type="dxa"/>
              <w:bottom w:w="139" w:type="dxa"/>
              <w:right w:w="210" w:type="dxa"/>
            </w:tcMar>
            <w:vAlign w:val="center"/>
          </w:tcPr>
          <w:p>
            <w:pPr>
              <w:keepNext w:val="0"/>
              <w:keepLines w:val="0"/>
              <w:pageBreakBefore w:val="0"/>
              <w:widowControl/>
              <w:kinsoku/>
              <w:wordWrap/>
              <w:overflowPunct/>
              <w:topLinePunct w:val="0"/>
              <w:autoSpaceDE/>
              <w:autoSpaceDN/>
              <w:bidi w:val="0"/>
              <w:adjustRightInd/>
              <w:snapToGrid/>
              <w:spacing w:line="360" w:lineRule="auto"/>
              <w:textAlignment w:val="auto"/>
              <w:rPr>
                <w:rFonts w:hint="default"/>
              </w:rPr>
            </w:pPr>
            <w:r>
              <w:rPr>
                <w:rFonts w:hint="eastAsia"/>
                <w:lang w:val="en-US" w:eastAsia="zh-CN"/>
              </w:rPr>
              <w:t>吸持功率</w:t>
            </w:r>
          </w:p>
        </w:tc>
        <w:tc>
          <w:tcPr>
            <w:tcW w:w="0" w:type="auto"/>
            <w:shd w:val="clear" w:color="auto" w:fill="auto"/>
            <w:tcMar>
              <w:top w:w="139" w:type="dxa"/>
              <w:left w:w="210" w:type="dxa"/>
              <w:bottom w:w="139" w:type="dxa"/>
              <w:right w:w="210" w:type="dxa"/>
            </w:tcMar>
            <w:vAlign w:val="center"/>
          </w:tcPr>
          <w:p>
            <w:pPr>
              <w:keepNext w:val="0"/>
              <w:keepLines w:val="0"/>
              <w:pageBreakBefore w:val="0"/>
              <w:widowControl/>
              <w:kinsoku/>
              <w:wordWrap/>
              <w:overflowPunct/>
              <w:topLinePunct w:val="0"/>
              <w:autoSpaceDE/>
              <w:autoSpaceDN/>
              <w:bidi w:val="0"/>
              <w:adjustRightInd/>
              <w:snapToGrid/>
              <w:spacing w:line="360" w:lineRule="auto"/>
              <w:textAlignment w:val="auto"/>
              <w:rPr>
                <w:rFonts w:hint="default"/>
              </w:rPr>
            </w:pPr>
            <w:r>
              <w:rPr>
                <w:rFonts w:hint="default"/>
                <w:lang w:val="en-US" w:eastAsia="zh-CN"/>
              </w:rPr>
              <w:t>GB 21518-2022</w:t>
            </w:r>
          </w:p>
        </w:tc>
        <w:tc>
          <w:tcPr>
            <w:tcW w:w="0" w:type="auto"/>
            <w:shd w:val="clear" w:color="auto" w:fill="auto"/>
            <w:tcMar>
              <w:top w:w="139" w:type="dxa"/>
              <w:left w:w="210" w:type="dxa"/>
              <w:bottom w:w="139" w:type="dxa"/>
              <w:right w:w="210" w:type="dxa"/>
            </w:tcMar>
            <w:vAlign w:val="center"/>
          </w:tcPr>
          <w:p>
            <w:pPr>
              <w:keepNext w:val="0"/>
              <w:keepLines w:val="0"/>
              <w:pageBreakBefore w:val="0"/>
              <w:widowControl/>
              <w:kinsoku/>
              <w:wordWrap/>
              <w:overflowPunct/>
              <w:topLinePunct w:val="0"/>
              <w:autoSpaceDE/>
              <w:autoSpaceDN/>
              <w:bidi w:val="0"/>
              <w:adjustRightInd/>
              <w:snapToGrid/>
              <w:spacing w:line="360" w:lineRule="auto"/>
              <w:textAlignment w:val="auto"/>
              <w:rPr>
                <w:rFonts w:hint="default"/>
              </w:rPr>
            </w:pPr>
            <w:r>
              <w:rPr>
                <w:rFonts w:hint="default"/>
                <w:lang w:val="en-US" w:eastAsia="zh-CN"/>
              </w:rPr>
              <w:t>GB 21518-2022</w:t>
            </w:r>
          </w:p>
        </w:tc>
      </w:tr>
    </w:tbl>
    <w:p>
      <w:pPr>
        <w:snapToGrid w:val="0"/>
        <w:spacing w:line="440" w:lineRule="exact"/>
        <w:rPr>
          <w:rFonts w:hint="eastAsia" w:ascii="Times New Roman" w:hAnsi="Times New Roman" w:eastAsia="宋体" w:cs="Times New Roman"/>
          <w:b/>
          <w:bCs/>
          <w:color w:val="000000"/>
        </w:rPr>
      </w:pPr>
      <w:r>
        <w:rPr>
          <w:rFonts w:hint="eastAsia" w:ascii="Times New Roman" w:hAnsi="Times New Roman" w:eastAsia="宋体" w:cs="Times New Roman"/>
          <w:b/>
          <w:bCs/>
          <w:color w:val="000000"/>
        </w:rPr>
        <w:t>3.1判定规则</w:t>
      </w:r>
    </w:p>
    <w:p>
      <w:pPr>
        <w:keepNext w:val="0"/>
        <w:keepLines w:val="0"/>
        <w:pageBreakBefore w:val="0"/>
        <w:widowControl/>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法律法规、强制性标准、市场准入的能效相关规定是强制性能效质量要求</w:t>
      </w:r>
      <w:r>
        <w:rPr>
          <w:rFonts w:hint="eastAsia"/>
          <w:lang w:eastAsia="zh-CN"/>
        </w:rPr>
        <w:t>；</w:t>
      </w:r>
      <w:r>
        <w:rPr>
          <w:rFonts w:hint="eastAsia"/>
        </w:rPr>
        <w:t>在产品或者其包装上，或者以产品说明、实物样品等方式表明的能效质量状况是明示能效质量要求</w:t>
      </w:r>
      <w:r>
        <w:rPr>
          <w:rFonts w:hint="eastAsia"/>
          <w:lang w:eastAsia="zh-CN"/>
        </w:rPr>
        <w:t>（</w:t>
      </w:r>
      <w:r>
        <w:rPr>
          <w:rFonts w:hint="eastAsia"/>
          <w:lang w:val="en-US" w:eastAsia="zh-CN"/>
        </w:rPr>
        <w:t>吸持功率</w:t>
      </w:r>
      <w:r>
        <w:rPr>
          <w:rFonts w:hint="eastAsia"/>
          <w:lang w:eastAsia="zh-CN"/>
        </w:rPr>
        <w:t>）</w:t>
      </w:r>
      <w:r>
        <w:rPr>
          <w:rFonts w:hint="default"/>
        </w:rPr>
        <w:t>。</w:t>
      </w:r>
      <w:bookmarkStart w:id="0" w:name="_GoBack"/>
      <w:bookmarkEnd w:id="0"/>
    </w:p>
    <w:p>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rPr>
      </w:pPr>
      <w:r>
        <w:rPr>
          <w:rFonts w:hint="default"/>
        </w:rPr>
        <w:t>3.1.1若被抽查产品明示能效质量要求高于本细则中检验项目对应的能效质量要求时，按照被抽查产品明示的能效质量要求判定。</w:t>
      </w:r>
    </w:p>
    <w:p>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rPr>
      </w:pPr>
      <w:r>
        <w:rPr>
          <w:rFonts w:hint="default"/>
        </w:rPr>
        <w:t>3.1.2若被抽查产品明示能效质量要求缺少、低于或包含本细则中检验项目对应的强制性能效质量要求时，按照强制性能效质量要求判定。</w:t>
      </w:r>
    </w:p>
    <w:p>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rPr>
      </w:pPr>
      <w:r>
        <w:rPr>
          <w:rFonts w:hint="default"/>
        </w:rPr>
        <w:t>3.1.3若被抽查产品明示能效质量要求低于或包含本细则中检验项目对应的推荐性能效质量要求时，按照被抽查产品明示的能效质量要求判定。</w:t>
      </w:r>
    </w:p>
    <w:p>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rPr>
      </w:pPr>
      <w:r>
        <w:rPr>
          <w:rFonts w:hint="default"/>
        </w:rPr>
        <w:t>3.1.4若被抽查产品明示能效质量要求缺少本细则中检验项目对应的推荐性能效质量要求时，该项目不参与判定。</w:t>
      </w:r>
    </w:p>
    <w:p>
      <w:pPr>
        <w:snapToGrid w:val="0"/>
        <w:spacing w:line="440" w:lineRule="exact"/>
        <w:rPr>
          <w:rFonts w:hint="eastAsia" w:ascii="Times New Roman" w:hAnsi="Times New Roman" w:eastAsia="宋体" w:cs="Times New Roman"/>
          <w:b/>
          <w:bCs/>
          <w:color w:val="000000"/>
        </w:rPr>
      </w:pPr>
      <w:r>
        <w:rPr>
          <w:rFonts w:hint="eastAsia" w:ascii="Times New Roman" w:hAnsi="Times New Roman" w:eastAsia="宋体" w:cs="Times New Roman"/>
          <w:b/>
          <w:bCs/>
          <w:color w:val="000000"/>
        </w:rPr>
        <w:t>3.2抽查结果判定</w:t>
      </w:r>
    </w:p>
    <w:p>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rPr>
      </w:pPr>
      <w:r>
        <w:rPr>
          <w:rFonts w:hint="default"/>
        </w:rPr>
        <w:t>3.2.1检验项目中任一项或一项以上不符合能效质量要求，判定为被抽查产品不合格。</w:t>
      </w:r>
    </w:p>
    <w:p>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rPr>
      </w:pPr>
      <w:r>
        <w:rPr>
          <w:rFonts w:hint="default"/>
        </w:rPr>
        <w:t>3.2.2检验项目全部符合能效质量要求，表明未发现被抽查产品不合格，判定被抽查产品合格。</w:t>
      </w:r>
    </w:p>
    <w:p>
      <w:pPr>
        <w:snapToGrid w:val="0"/>
        <w:spacing w:line="440" w:lineRule="exact"/>
        <w:rPr>
          <w:rFonts w:hint="eastAsia" w:ascii="Times New Roman" w:hAnsi="Times New Roman" w:eastAsia="宋体" w:cs="Times New Roman"/>
          <w:b/>
          <w:bCs/>
          <w:color w:val="000000"/>
        </w:rPr>
      </w:pPr>
      <w:r>
        <w:rPr>
          <w:rFonts w:hint="eastAsia" w:ascii="Times New Roman" w:hAnsi="Times New Roman" w:eastAsia="宋体" w:cs="Times New Roman"/>
          <w:b/>
          <w:bCs/>
          <w:color w:val="000000"/>
        </w:rPr>
        <w:t>4异议处理</w:t>
      </w:r>
    </w:p>
    <w:p>
      <w:pPr>
        <w:keepNext w:val="0"/>
        <w:keepLines w:val="0"/>
        <w:pageBreakBefore w:val="0"/>
        <w:widowControl/>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被抽样生产者、销售者对检验结果有异议的，应在接到检验结果之日起15日内向北京市市场监督管理局提交书面异议处理申请，阐明理由并附营业执照副本</w:t>
      </w:r>
      <w:r>
        <w:rPr>
          <w:rFonts w:hint="eastAsia"/>
          <w:lang w:eastAsia="zh-CN"/>
        </w:rPr>
        <w:t>（</w:t>
      </w:r>
      <w:r>
        <w:rPr>
          <w:rFonts w:hint="eastAsia"/>
        </w:rPr>
        <w:t>原件</w:t>
      </w:r>
      <w:r>
        <w:rPr>
          <w:rFonts w:hint="eastAsia"/>
          <w:lang w:eastAsia="zh-CN"/>
        </w:rPr>
        <w:t>）</w:t>
      </w:r>
      <w:r>
        <w:rPr>
          <w:rFonts w:hint="eastAsia"/>
        </w:rPr>
        <w:t>等相关证明材料</w:t>
      </w:r>
      <w:r>
        <w:rPr>
          <w:rFonts w:hint="eastAsia"/>
          <w:lang w:eastAsia="zh-CN"/>
        </w:rPr>
        <w:t>（</w:t>
      </w:r>
      <w:r>
        <w:rPr>
          <w:rFonts w:hint="eastAsia"/>
        </w:rPr>
        <w:t>异议处理申请材料同时抄送承担监督抽查结果处理工作的部门</w:t>
      </w:r>
      <w:r>
        <w:rPr>
          <w:rFonts w:hint="eastAsia"/>
          <w:lang w:eastAsia="zh-CN"/>
        </w:rPr>
        <w:t>）</w:t>
      </w:r>
      <w:r>
        <w:rPr>
          <w:rFonts w:hint="eastAsia"/>
        </w:rPr>
        <w:t>。逾期未提出异议的，视为承认检验结论。</w:t>
      </w:r>
    </w:p>
    <w:p>
      <w:pPr>
        <w:keepNext w:val="0"/>
        <w:keepLines w:val="0"/>
        <w:pageBreakBefore w:val="0"/>
        <w:widowControl/>
        <w:kinsoku/>
        <w:wordWrap/>
        <w:overflowPunct/>
        <w:topLinePunct w:val="0"/>
        <w:autoSpaceDE/>
        <w:autoSpaceDN/>
        <w:bidi w:val="0"/>
        <w:adjustRightInd/>
        <w:snapToGrid/>
        <w:spacing w:line="360" w:lineRule="auto"/>
        <w:ind w:firstLine="420" w:firstLineChars="200"/>
        <w:textAlignment w:val="auto"/>
        <w:rPr>
          <w:rFonts w:hint="eastAsia"/>
        </w:rPr>
      </w:pPr>
      <w:r>
        <w:rPr>
          <w:rFonts w:hint="default"/>
        </w:rPr>
        <w:t>异议受理部门应依法处理被抽样生产者、销售者提出的异议，视情况组织复检或进行调查核实，并做出异议处理决定。</w:t>
      </w:r>
    </w:p>
    <w:p>
      <w:pPr>
        <w:rPr>
          <w:rFonts w:hint="eastAsia"/>
        </w:rPr>
      </w:pPr>
    </w:p>
    <w:sectPr>
      <w:pgSz w:w="11906" w:h="16838"/>
      <w:pgMar w:top="1440" w:right="1800" w:bottom="1440" w:left="1800" w:header="851" w:footer="992" w:gutter="0"/>
      <w:cols w:space="425" w:num="1"/>
      <w:docGrid w:type="lines" w:linePitch="312" w:charSpace="0"/>
    </w:sectPr>
  </w:body>
</w:document>
</file>

<file path=word/customizations.xml><?xml version="1.0" encoding="utf-8"?>
<wne:tcg xmlns:r="http://schemas.openxmlformats.org/officeDocument/2006/relationships" xmlns:wne="http://schemas.microsoft.com/office/word/2006/wordml">
  <wne:keymaps>
    <wne:keymap wne:kcmPrimary="0651">
      <wne:macro wne:macroName="MATHTYPECOMMANDS.UILIB.MTCOMMAND_INSERTINLINEEQN"/>
    </wne:keymap>
    <wne:keymap wne:kcmPrimary="0451">
      <wne:macro wne:macroName="MATHTYPECOMMANDS.UILIB.MTCOMMAND_INSERTDISPEQN"/>
    </wne:keymap>
    <wne:keymap wne:kcmPrimary="0551">
      <wne:macro wne:macroName="MATHTYPECOMMANDS.UILIB.MTCOMMAND_INSERTRIGHTNUMBEREDDISPEQN"/>
    </wne:keymap>
    <wne:keymap wne:kcmPrimary="0751">
      <wne:macro wne:macroName="MATHTYPECOMMANDS.UILIB.MTCOMMAND_INSERTLEFTNUMBEREDDISPEQN"/>
    </wne:keymap>
    <wne:keymap wne:kcmPrimary="04DC">
      <wne:macro wne:macroName="MATHTYPECOMMANDS.UILIB.MTCOMMAND_TEXTOGGLE"/>
    </wne:keymap>
    <wne:keymap wne:kcmPrimary="0445">
      <wne:macro wne:macroName="MATHTYPECOMMANDS.UILIB.MTCOMMAND_EDITEQUATIONINPLACE"/>
    </wne:keymap>
    <wne:keymap wne:kcmPrimary="044F">
      <wne:macro wne:macroName="MATHTYPECOMMANDS.UILIB.MTCOMMAND_EDITEQUATIONOPEN"/>
    </wne:keymap>
    <wne:keymap wne:kcmPrimary="034D">
      <wne:macro wne:macroName="MATHTYPECOMMANDS.UILIB.MTCOMMAND_MATHINPUTCONTROL"/>
    </wne:keymap>
  </wne:keymaps>
</wne:tc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微软雅黑">
    <w:altName w:val="方正黑体_GBK"/>
    <w:panose1 w:val="020B0503020204020204"/>
    <w:charset w:val="86"/>
    <w:family w:val="auto"/>
    <w:pitch w:val="default"/>
    <w:sig w:usb0="00000000" w:usb1="00000000" w:usb2="00000016" w:usb3="00000000" w:csb0="0004001F" w:csb1="00000000"/>
  </w:font>
  <w:font w:name="方正小标宋简体">
    <w:panose1 w:val="02000000000000000000"/>
    <w:charset w:val="86"/>
    <w:family w:val="script"/>
    <w:pitch w:val="default"/>
    <w:sig w:usb0="A00002BF" w:usb1="184F6CFA" w:usb2="00000012" w:usb3="00000000" w:csb0="00040001"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Arial">
    <w:altName w:val="DejaVu Sans"/>
    <w:panose1 w:val="00000000000000000000"/>
    <w:charset w:val="00"/>
    <w:family w:val="auto"/>
    <w:pitch w:val="default"/>
    <w:sig w:usb0="00000000" w:usb1="00000000" w:usb2="00000000" w:usb3="00000000" w:csb0="00000000" w:csb1="00000000"/>
  </w:font>
  <w:font w:name="方正宋体S-超大字符集">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false"/>
  <w:bordersDoNotSurroundFooter w:val="false"/>
  <w:trackRevisions w:val="true"/>
  <w:documentProtection w:enforcement="0"/>
  <w:defaultTabStop w:val="420"/>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875483"/>
    <w:rsid w:val="00A00A33"/>
    <w:rsid w:val="00DD7BDB"/>
    <w:rsid w:val="010F3657"/>
    <w:rsid w:val="01364D43"/>
    <w:rsid w:val="013B7A55"/>
    <w:rsid w:val="02A15823"/>
    <w:rsid w:val="030C08E0"/>
    <w:rsid w:val="033E38C4"/>
    <w:rsid w:val="038F1084"/>
    <w:rsid w:val="03BF74E3"/>
    <w:rsid w:val="04893761"/>
    <w:rsid w:val="05523361"/>
    <w:rsid w:val="05787552"/>
    <w:rsid w:val="05792A24"/>
    <w:rsid w:val="069E1A43"/>
    <w:rsid w:val="06B726F6"/>
    <w:rsid w:val="072A580D"/>
    <w:rsid w:val="074D2B60"/>
    <w:rsid w:val="08491BF6"/>
    <w:rsid w:val="0883707B"/>
    <w:rsid w:val="088C24D7"/>
    <w:rsid w:val="08A045F4"/>
    <w:rsid w:val="08B24C05"/>
    <w:rsid w:val="08F33606"/>
    <w:rsid w:val="09B34D06"/>
    <w:rsid w:val="0A235EA4"/>
    <w:rsid w:val="0A2A612B"/>
    <w:rsid w:val="0A5B2ED5"/>
    <w:rsid w:val="0AAB0015"/>
    <w:rsid w:val="0AAB59C6"/>
    <w:rsid w:val="0AFD5979"/>
    <w:rsid w:val="0AFF65F5"/>
    <w:rsid w:val="0C8C603E"/>
    <w:rsid w:val="0DC86E3D"/>
    <w:rsid w:val="0E6104A9"/>
    <w:rsid w:val="0E6F43F6"/>
    <w:rsid w:val="0E8638A6"/>
    <w:rsid w:val="10025C9A"/>
    <w:rsid w:val="10130435"/>
    <w:rsid w:val="10785819"/>
    <w:rsid w:val="10AC3C26"/>
    <w:rsid w:val="11056DB7"/>
    <w:rsid w:val="11341245"/>
    <w:rsid w:val="11EF1019"/>
    <w:rsid w:val="126F550A"/>
    <w:rsid w:val="12864F85"/>
    <w:rsid w:val="12AC746B"/>
    <w:rsid w:val="133011D5"/>
    <w:rsid w:val="13BE4364"/>
    <w:rsid w:val="140D009C"/>
    <w:rsid w:val="144F4B9A"/>
    <w:rsid w:val="14966549"/>
    <w:rsid w:val="14BF01DE"/>
    <w:rsid w:val="158B6D35"/>
    <w:rsid w:val="1639144E"/>
    <w:rsid w:val="165E7383"/>
    <w:rsid w:val="16775E4C"/>
    <w:rsid w:val="175E1E64"/>
    <w:rsid w:val="17803173"/>
    <w:rsid w:val="18024A21"/>
    <w:rsid w:val="180A7CF1"/>
    <w:rsid w:val="19786FCC"/>
    <w:rsid w:val="19C7358F"/>
    <w:rsid w:val="19EA1C60"/>
    <w:rsid w:val="1A1F5B95"/>
    <w:rsid w:val="1A9410D8"/>
    <w:rsid w:val="1B585F60"/>
    <w:rsid w:val="1C5376AF"/>
    <w:rsid w:val="1C6E7774"/>
    <w:rsid w:val="1CDE2D73"/>
    <w:rsid w:val="1D513408"/>
    <w:rsid w:val="1E1139B9"/>
    <w:rsid w:val="1E9071EB"/>
    <w:rsid w:val="1EA50433"/>
    <w:rsid w:val="1FE040E2"/>
    <w:rsid w:val="2041537E"/>
    <w:rsid w:val="20DA5608"/>
    <w:rsid w:val="2155748F"/>
    <w:rsid w:val="21601BF2"/>
    <w:rsid w:val="21AB23F0"/>
    <w:rsid w:val="21DD7D41"/>
    <w:rsid w:val="23B84A2A"/>
    <w:rsid w:val="23C16B9D"/>
    <w:rsid w:val="24803E97"/>
    <w:rsid w:val="24C75ACD"/>
    <w:rsid w:val="253A2005"/>
    <w:rsid w:val="262A6C1A"/>
    <w:rsid w:val="27A42E8F"/>
    <w:rsid w:val="29A9467D"/>
    <w:rsid w:val="29E444FD"/>
    <w:rsid w:val="2A332455"/>
    <w:rsid w:val="2AA12294"/>
    <w:rsid w:val="2AC52427"/>
    <w:rsid w:val="2C4B7A0E"/>
    <w:rsid w:val="2C8809A2"/>
    <w:rsid w:val="2D500838"/>
    <w:rsid w:val="2DE72497"/>
    <w:rsid w:val="2E5B34FB"/>
    <w:rsid w:val="2EB966E0"/>
    <w:rsid w:val="2F050BAA"/>
    <w:rsid w:val="30B77276"/>
    <w:rsid w:val="3107634F"/>
    <w:rsid w:val="31162F87"/>
    <w:rsid w:val="31185D4D"/>
    <w:rsid w:val="3125062D"/>
    <w:rsid w:val="3165621B"/>
    <w:rsid w:val="31705087"/>
    <w:rsid w:val="31760F2F"/>
    <w:rsid w:val="32087AAB"/>
    <w:rsid w:val="323B26CE"/>
    <w:rsid w:val="32D00DB6"/>
    <w:rsid w:val="32ED3142"/>
    <w:rsid w:val="32EE04A4"/>
    <w:rsid w:val="330B23B9"/>
    <w:rsid w:val="3319293F"/>
    <w:rsid w:val="331A2326"/>
    <w:rsid w:val="335E4D33"/>
    <w:rsid w:val="34853FB6"/>
    <w:rsid w:val="34E33453"/>
    <w:rsid w:val="35E45173"/>
    <w:rsid w:val="372C4B9B"/>
    <w:rsid w:val="37E64902"/>
    <w:rsid w:val="37EC09A1"/>
    <w:rsid w:val="37F66FA7"/>
    <w:rsid w:val="386C60A6"/>
    <w:rsid w:val="38E8353C"/>
    <w:rsid w:val="391F10FC"/>
    <w:rsid w:val="39266A8E"/>
    <w:rsid w:val="397E2B67"/>
    <w:rsid w:val="39A46B55"/>
    <w:rsid w:val="39D60A29"/>
    <w:rsid w:val="3A017E91"/>
    <w:rsid w:val="3A156F0F"/>
    <w:rsid w:val="3A644FCF"/>
    <w:rsid w:val="3A6A0A4F"/>
    <w:rsid w:val="3B0132C0"/>
    <w:rsid w:val="3B46001E"/>
    <w:rsid w:val="3BDA00A2"/>
    <w:rsid w:val="3C116961"/>
    <w:rsid w:val="3C4052A5"/>
    <w:rsid w:val="3C687839"/>
    <w:rsid w:val="3D1D00C3"/>
    <w:rsid w:val="3D2F3B6B"/>
    <w:rsid w:val="3E57684E"/>
    <w:rsid w:val="3EF7788A"/>
    <w:rsid w:val="3F174269"/>
    <w:rsid w:val="40F92966"/>
    <w:rsid w:val="41B22709"/>
    <w:rsid w:val="41E94945"/>
    <w:rsid w:val="425C4D66"/>
    <w:rsid w:val="450353AC"/>
    <w:rsid w:val="45862A76"/>
    <w:rsid w:val="45976AF6"/>
    <w:rsid w:val="45E66F03"/>
    <w:rsid w:val="45EC7E82"/>
    <w:rsid w:val="46023EF5"/>
    <w:rsid w:val="462179B8"/>
    <w:rsid w:val="46981549"/>
    <w:rsid w:val="46D87162"/>
    <w:rsid w:val="46FC4EF4"/>
    <w:rsid w:val="4738349E"/>
    <w:rsid w:val="478C6FC9"/>
    <w:rsid w:val="48165167"/>
    <w:rsid w:val="48E020A4"/>
    <w:rsid w:val="499A5178"/>
    <w:rsid w:val="4A1A05E3"/>
    <w:rsid w:val="4A87606C"/>
    <w:rsid w:val="4AAB7652"/>
    <w:rsid w:val="4AAF47E8"/>
    <w:rsid w:val="4BC35BB8"/>
    <w:rsid w:val="4BFE1881"/>
    <w:rsid w:val="4C86419B"/>
    <w:rsid w:val="4C900096"/>
    <w:rsid w:val="4CFE345E"/>
    <w:rsid w:val="4D235D76"/>
    <w:rsid w:val="4D944C86"/>
    <w:rsid w:val="4E8D1903"/>
    <w:rsid w:val="4E9F1218"/>
    <w:rsid w:val="4EAF3657"/>
    <w:rsid w:val="505936B0"/>
    <w:rsid w:val="50F52AA8"/>
    <w:rsid w:val="519A4311"/>
    <w:rsid w:val="51EB08C0"/>
    <w:rsid w:val="52152623"/>
    <w:rsid w:val="52CA6191"/>
    <w:rsid w:val="53193DB5"/>
    <w:rsid w:val="54B62196"/>
    <w:rsid w:val="55237DE2"/>
    <w:rsid w:val="558223BE"/>
    <w:rsid w:val="55AF7CDF"/>
    <w:rsid w:val="56DE2025"/>
    <w:rsid w:val="57366418"/>
    <w:rsid w:val="576F19B8"/>
    <w:rsid w:val="578B2D73"/>
    <w:rsid w:val="57B447A4"/>
    <w:rsid w:val="592C19B8"/>
    <w:rsid w:val="59B90C49"/>
    <w:rsid w:val="59C047ED"/>
    <w:rsid w:val="5A0B5F86"/>
    <w:rsid w:val="5B511BC8"/>
    <w:rsid w:val="5B6B38CD"/>
    <w:rsid w:val="5C0E6EBC"/>
    <w:rsid w:val="5D1749F3"/>
    <w:rsid w:val="5D203034"/>
    <w:rsid w:val="5DB753B0"/>
    <w:rsid w:val="5E76799F"/>
    <w:rsid w:val="5EE80BBC"/>
    <w:rsid w:val="5F394B1B"/>
    <w:rsid w:val="5FCB1361"/>
    <w:rsid w:val="5FE17D53"/>
    <w:rsid w:val="5FFF6912"/>
    <w:rsid w:val="60416D62"/>
    <w:rsid w:val="60E1637B"/>
    <w:rsid w:val="612F39AF"/>
    <w:rsid w:val="61B65F2F"/>
    <w:rsid w:val="628D04F3"/>
    <w:rsid w:val="629C04DB"/>
    <w:rsid w:val="63B304D0"/>
    <w:rsid w:val="63D86B82"/>
    <w:rsid w:val="643C4BF2"/>
    <w:rsid w:val="65047FB2"/>
    <w:rsid w:val="658719C8"/>
    <w:rsid w:val="65914449"/>
    <w:rsid w:val="67091C34"/>
    <w:rsid w:val="675A7DF3"/>
    <w:rsid w:val="688C26DD"/>
    <w:rsid w:val="68A44FF7"/>
    <w:rsid w:val="69934E65"/>
    <w:rsid w:val="69D472A7"/>
    <w:rsid w:val="69E93B18"/>
    <w:rsid w:val="69EF56B2"/>
    <w:rsid w:val="69FA1E84"/>
    <w:rsid w:val="6B9A1E4B"/>
    <w:rsid w:val="6BD4702D"/>
    <w:rsid w:val="6C407E7D"/>
    <w:rsid w:val="6C7A6883"/>
    <w:rsid w:val="6CAD4310"/>
    <w:rsid w:val="6CFD486F"/>
    <w:rsid w:val="6E6B61D9"/>
    <w:rsid w:val="6EF97ECE"/>
    <w:rsid w:val="6FC93BE6"/>
    <w:rsid w:val="7041427C"/>
    <w:rsid w:val="705130DF"/>
    <w:rsid w:val="71AB28EF"/>
    <w:rsid w:val="722D57DE"/>
    <w:rsid w:val="72F70E35"/>
    <w:rsid w:val="731E7785"/>
    <w:rsid w:val="73600640"/>
    <w:rsid w:val="74262F99"/>
    <w:rsid w:val="742C2EAE"/>
    <w:rsid w:val="76030AA3"/>
    <w:rsid w:val="76D02047"/>
    <w:rsid w:val="7711658C"/>
    <w:rsid w:val="77444477"/>
    <w:rsid w:val="77AF72F4"/>
    <w:rsid w:val="77B82991"/>
    <w:rsid w:val="789C6C68"/>
    <w:rsid w:val="78A27D37"/>
    <w:rsid w:val="79142CEE"/>
    <w:rsid w:val="7A162A1A"/>
    <w:rsid w:val="7A2B0E7B"/>
    <w:rsid w:val="7A6B6BBF"/>
    <w:rsid w:val="7AFA1E80"/>
    <w:rsid w:val="7B4549AA"/>
    <w:rsid w:val="7BAF3ED5"/>
    <w:rsid w:val="7BC23140"/>
    <w:rsid w:val="7C88499A"/>
    <w:rsid w:val="7C9C23EC"/>
    <w:rsid w:val="7CAD13F9"/>
    <w:rsid w:val="7CB750D9"/>
    <w:rsid w:val="7D2967E2"/>
    <w:rsid w:val="7D480938"/>
    <w:rsid w:val="7D5612DA"/>
    <w:rsid w:val="7D666CD4"/>
    <w:rsid w:val="7EA34A4D"/>
    <w:rsid w:val="7EFC51E1"/>
    <w:rsid w:val="7F1C6001"/>
    <w:rsid w:val="7F9C56FF"/>
    <w:rsid w:val="9FFFEC6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Calibri"/>
      <w:kern w:val="2"/>
      <w:sz w:val="21"/>
      <w:szCs w:val="21"/>
      <w:lang w:val="en-US" w:eastAsia="zh-CN" w:bidi="ar-SA"/>
    </w:rPr>
  </w:style>
  <w:style w:type="paragraph" w:styleId="2">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0" w:beforeAutospacing="1" w:after="0" w:afterAutospacing="1"/>
      <w:ind w:left="0" w:right="0"/>
      <w:jc w:val="left"/>
    </w:pPr>
    <w:rPr>
      <w:kern w:val="0"/>
      <w:sz w:val="24"/>
      <w:lang w:val="en-US" w:eastAsia="zh-CN" w:bidi="ar"/>
    </w:rPr>
  </w:style>
  <w:style w:type="paragraph" w:customStyle="1" w:styleId="6">
    <w:name w:val="Default"/>
    <w:qFormat/>
    <w:uiPriority w:val="0"/>
    <w:pPr>
      <w:widowControl w:val="0"/>
      <w:autoSpaceDE w:val="0"/>
      <w:autoSpaceDN w:val="0"/>
      <w:adjustRightInd w:val="0"/>
    </w:pPr>
    <w:rPr>
      <w:rFonts w:ascii="黑体" w:hAnsi="Times New Roman" w:eastAsia="黑体" w:cs="Times New Roman"/>
      <w:color w:val="000000"/>
      <w:sz w:val="24"/>
      <w:szCs w:val="24"/>
      <w:lang w:val="en-US" w:eastAsia="zh-CN" w:bidi="ar-SA"/>
    </w:rPr>
  </w:style>
  <w:style w:type="character" w:customStyle="1" w:styleId="7">
    <w:name w:val="font11"/>
    <w:basedOn w:val="5"/>
    <w:qFormat/>
    <w:uiPriority w:val="0"/>
    <w:rPr>
      <w:rFonts w:hint="eastAsia" w:ascii="宋体" w:hAnsi="宋体" w:eastAsia="宋体" w:cs="宋体"/>
      <w:color w:val="000000"/>
      <w:sz w:val="21"/>
      <w:szCs w:val="21"/>
      <w:u w:val="none"/>
    </w:rPr>
  </w:style>
  <w:style w:type="paragraph" w:customStyle="1" w:styleId="8">
    <w:name w:val="Table Text"/>
    <w:basedOn w:val="1"/>
    <w:semiHidden/>
    <w:qFormat/>
    <w:uiPriority w:val="0"/>
    <w:rPr>
      <w:rFonts w:ascii="微软雅黑" w:hAnsi="微软雅黑" w:eastAsia="微软雅黑" w:cs="微软雅黑"/>
      <w:sz w:val="24"/>
      <w:szCs w:val="24"/>
      <w:lang w:val="en-US" w:eastAsia="en-US" w:bidi="ar-SA"/>
    </w:rPr>
  </w:style>
  <w:style w:type="table" w:customStyle="1" w:styleId="9">
    <w:name w:val="Table Normal"/>
    <w:semiHidden/>
    <w:unhideWhenUsed/>
    <w:qFormat/>
    <w:uiPriority w:val="0"/>
    <w:tblPr>
      <w:tblCellMar>
        <w:top w:w="0" w:type="dxa"/>
        <w:left w:w="0" w:type="dxa"/>
        <w:bottom w:w="0" w:type="dxa"/>
        <w:right w:w="0" w:type="dxa"/>
      </w:tblCellMar>
    </w:tblPr>
  </w:style>
  <w:style w:type="character" w:customStyle="1" w:styleId="10">
    <w:name w:val="font21"/>
    <w:basedOn w:val="5"/>
    <w:qFormat/>
    <w:uiPriority w:val="0"/>
    <w:rPr>
      <w:rFonts w:hint="default" w:ascii="Times New Roman" w:hAnsi="Times New Roman" w:cs="Times New Roman"/>
      <w:color w:val="000000"/>
      <w:sz w:val="24"/>
      <w:szCs w:val="24"/>
      <w:u w:val="none"/>
    </w:rPr>
  </w:style>
  <w:style w:type="character" w:customStyle="1" w:styleId="11">
    <w:name w:val="font31"/>
    <w:basedOn w:val="5"/>
    <w:qFormat/>
    <w:uiPriority w:val="0"/>
    <w:rPr>
      <w:rFonts w:ascii="微软雅黑" w:hAnsi="微软雅黑" w:eastAsia="微软雅黑" w:cs="微软雅黑"/>
      <w:color w:val="000000"/>
      <w:sz w:val="24"/>
      <w:szCs w:val="24"/>
      <w:u w:val="non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microsoft.com/office/2006/relationships/keyMapCustomizations" Target="customizations.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false"/>
        </a:gradFill>
        <a:gradFill>
          <a:gsLst>
            <a:gs pos="0">
              <a:schemeClr val="phClr">
                <a:hueOff val="-2520000"/>
              </a:schemeClr>
            </a:gs>
            <a:gs pos="100000">
              <a:schemeClr val="phClr"/>
            </a:gs>
          </a:gsLst>
          <a:lin ang="2700000" scaled="false"/>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true"/>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1063</Words>
  <Characters>1151</Characters>
  <Lines>0</Lines>
  <Paragraphs>0</Paragraphs>
  <TotalTime>7</TotalTime>
  <ScaleCrop>false</ScaleCrop>
  <LinksUpToDate>false</LinksUpToDate>
  <CharactersWithSpaces>1154</CharactersWithSpaces>
  <Application>WPS Office_11.8.2.10386_F1E327BC-269C-435d-A152-05C5408002CA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2025-02-06T16:27:00Z</dcterms:created>
  <dc:creator>dell</dc:creator>
  <cp:lastModifiedBy>scjgj</cp:lastModifiedBy>
  <cp:lastPrinted>2025-04-15T11:00:50Z</cp:lastPrinted>
  <dcterms:modified xsi:type="dcterms:W3CDTF">2025-04-15T11:04:51Z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2052-11.8.2.10386</vt:lpwstr>
  </property>
  <property fmtid="{D5CDD505-2E9C-101B-9397-08002B2CF9AE}" pid="3" name="ICV">
    <vt:lpwstr>FF107FB6D6E7472E9E450A80201C5709_12</vt:lpwstr>
  </property>
  <property fmtid="{D5CDD505-2E9C-101B-9397-08002B2CF9AE}" pid="4" name="KSOTemplateDocerSaveRecord">
    <vt:lpwstr>eyJoZGlkIjoiNmYxNzg2NThmOWFmZTgzNWYzZmM0NWM1NzQ2OTZiZWEiLCJ1c2VySWQiOiI0MzE0OTA4MzkifQ==</vt:lpwstr>
  </property>
</Properties>
</file>