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202</w:t>
      </w:r>
      <w:r>
        <w:rPr>
          <w:rFonts w:hint="eastAsia" w:ascii="方正小标宋简体" w:hAnsi="仿宋" w:eastAsia="方正小标宋简体" w:cs="方正仿宋简体"/>
          <w:color w:val="000000"/>
          <w:sz w:val="32"/>
          <w:szCs w:val="32"/>
          <w:lang w:val="en-US" w:eastAsia="zh-CN"/>
        </w:rPr>
        <w:t>5</w:t>
      </w:r>
      <w:r>
        <w:rPr>
          <w:rFonts w:hint="eastAsia" w:ascii="方正小标宋简体" w:hAnsi="仿宋" w:eastAsia="方正小标宋简体" w:cs="方正仿宋简体"/>
          <w:color w:val="000000"/>
          <w:sz w:val="32"/>
          <w:szCs w:val="32"/>
        </w:rPr>
        <w:t>年</w:t>
      </w:r>
      <w:r>
        <w:rPr>
          <w:rFonts w:hint="eastAsia" w:ascii="方正小标宋简体" w:hAnsi="仿宋" w:eastAsia="方正小标宋简体" w:cs="方正仿宋简体"/>
          <w:b w:val="0"/>
          <w:bCs w:val="0"/>
          <w:color w:val="000000"/>
          <w:sz w:val="32"/>
          <w:szCs w:val="32"/>
        </w:rPr>
        <w:t>北京市汽油机油、柴油机油</w:t>
      </w:r>
      <w:r>
        <w:rPr>
          <w:rFonts w:hint="eastAsia" w:ascii="方正小标宋简体" w:hAnsi="仿宋" w:eastAsia="方正小标宋简体" w:cs="方正仿宋简体"/>
          <w:color w:val="000000"/>
          <w:sz w:val="32"/>
          <w:szCs w:val="32"/>
        </w:rPr>
        <w:t>产品质量监督抽查实施细则</w:t>
      </w:r>
    </w:p>
    <w:p>
      <w:pPr>
        <w:snapToGrid w:val="0"/>
        <w:spacing w:line="440" w:lineRule="exact"/>
        <w:rPr>
          <w:rFonts w:hint="eastAsia" w:ascii="黑体" w:hAnsi="宋体" w:eastAsia="黑体"/>
          <w:color w:val="000000"/>
        </w:rPr>
      </w:pPr>
    </w:p>
    <w:p>
      <w:pPr>
        <w:snapToGrid w:val="0"/>
        <w:spacing w:line="440" w:lineRule="exact"/>
        <w:rPr>
          <w:rFonts w:hint="default" w:ascii="Times New Roman" w:hAnsi="Times New Roman" w:eastAsia="黑体" w:cs="Times New Roman"/>
          <w:color w:val="000000"/>
        </w:rPr>
      </w:pPr>
      <w:r>
        <w:rPr>
          <w:rFonts w:hint="default" w:ascii="Times New Roman" w:hAnsi="Times New Roman" w:eastAsia="黑体" w:cs="Times New Roman"/>
          <w:color w:val="000000"/>
        </w:rPr>
        <w:t>1 抽样方法</w:t>
      </w:r>
    </w:p>
    <w:p>
      <w:pPr>
        <w:snapToGrid w:val="0"/>
        <w:spacing w:line="440" w:lineRule="exact"/>
        <w:ind w:firstLine="420" w:firstLineChars="200"/>
        <w:rPr>
          <w:rFonts w:hint="eastAsia" w:ascii="宋体" w:hAnsi="宋体"/>
          <w:color w:val="000000"/>
        </w:rPr>
      </w:pPr>
      <w:r>
        <w:rPr>
          <w:rFonts w:hint="eastAsia" w:ascii="宋体" w:hAnsi="宋体"/>
          <w:color w:val="000000"/>
        </w:rPr>
        <w:t>以随机抽样的方式在被抽样生产者、销售者的待销产品中抽取。</w:t>
      </w:r>
    </w:p>
    <w:p>
      <w:pPr>
        <w:snapToGrid w:val="0"/>
        <w:spacing w:line="440" w:lineRule="exact"/>
        <w:ind w:firstLine="420" w:firstLineChars="200"/>
        <w:rPr>
          <w:rFonts w:hint="eastAsia" w:ascii="宋体" w:hAnsi="宋体"/>
          <w:color w:val="000000"/>
        </w:rPr>
      </w:pPr>
      <w:r>
        <w:rPr>
          <w:rFonts w:hint="eastAsia" w:ascii="宋体" w:hAnsi="宋体"/>
          <w:color w:val="000000"/>
        </w:rPr>
        <w:t>随机数一般可使用随机数表等方法产生。</w:t>
      </w:r>
    </w:p>
    <w:p>
      <w:pPr>
        <w:snapToGrid w:val="0"/>
        <w:spacing w:line="440" w:lineRule="exact"/>
        <w:ind w:firstLine="420" w:firstLineChars="200"/>
        <w:rPr>
          <w:rFonts w:ascii="Times New Roman" w:hAnsi="Times New Roman" w:cs="Times New Roman"/>
          <w:color w:val="000000"/>
          <w:szCs w:val="21"/>
        </w:rPr>
      </w:pPr>
      <w:r>
        <w:rPr>
          <w:rFonts w:hint="default" w:ascii="Times New Roman" w:hAnsi="Times New Roman" w:cs="Times New Roman"/>
          <w:color w:val="000000"/>
          <w:szCs w:val="21"/>
        </w:rPr>
        <w:t>抽样基数满足抽样数量即可，</w:t>
      </w:r>
      <w:r>
        <w:rPr>
          <w:rFonts w:hint="default" w:ascii="Times New Roman" w:hAnsi="Times New Roman" w:cs="Times New Roman"/>
          <w:color w:val="404040"/>
        </w:rPr>
        <w:t>应按GB/T 4756—2015《石油液体手工取样法》进行取样，其中不少于8kg（或L）为检验用样品，另不少于4kg（或L）为备用样品。</w:t>
      </w:r>
    </w:p>
    <w:p>
      <w:pPr>
        <w:snapToGrid w:val="0"/>
        <w:spacing w:line="440" w:lineRule="exact"/>
        <w:rPr>
          <w:rFonts w:hint="default" w:ascii="Times New Roman" w:hAnsi="Times New Roman" w:eastAsia="黑体" w:cs="Times New Roman"/>
          <w:color w:val="000000"/>
        </w:rPr>
      </w:pPr>
    </w:p>
    <w:p>
      <w:pPr>
        <w:snapToGrid w:val="0"/>
        <w:spacing w:line="440" w:lineRule="exact"/>
        <w:rPr>
          <w:rFonts w:hint="default" w:ascii="Times New Roman" w:hAnsi="Times New Roman" w:cs="Times New Roman"/>
          <w:color w:val="000000"/>
        </w:rPr>
      </w:pPr>
      <w:r>
        <w:rPr>
          <w:rFonts w:hint="default" w:ascii="Times New Roman" w:hAnsi="Times New Roman" w:eastAsia="黑体" w:cs="Times New Roman"/>
          <w:color w:val="000000"/>
        </w:rPr>
        <w:t>2 检验依据</w:t>
      </w:r>
    </w:p>
    <w:p>
      <w:pPr>
        <w:snapToGrid w:val="0"/>
        <w:spacing w:line="440" w:lineRule="exact"/>
        <w:ind w:firstLine="0" w:firstLineChars="0"/>
        <w:rPr>
          <w:rFonts w:ascii="Times New Roman" w:hAnsi="Times New Roman" w:cs="Times New Roman"/>
          <w:color w:val="000000"/>
        </w:rPr>
      </w:pPr>
      <w:r>
        <w:rPr>
          <w:rFonts w:ascii="Times New Roman" w:hAnsi="Times New Roman" w:cs="Times New Roman"/>
          <w:color w:val="000000"/>
        </w:rPr>
        <w:t xml:space="preserve">2.1 </w:t>
      </w:r>
      <w:r>
        <w:rPr>
          <w:rFonts w:hint="eastAsia" w:ascii="Times New Roman" w:hAnsi="Times New Roman" w:cs="Times New Roman"/>
          <w:color w:val="000000"/>
          <w:lang w:eastAsia="zh-CN"/>
        </w:rPr>
        <w:t>汽油机油</w:t>
      </w:r>
    </w:p>
    <w:tbl>
      <w:tblPr>
        <w:tblStyle w:val="5"/>
        <w:tblW w:w="8878"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
      <w:tblGrid>
        <w:gridCol w:w="552"/>
        <w:gridCol w:w="1220"/>
        <w:gridCol w:w="1782"/>
        <w:gridCol w:w="2464"/>
        <w:gridCol w:w="2855"/>
        <w:gridCol w:w="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gridAfter w:val="1"/>
          <w:wAfter w:w="5" w:type="dxa"/>
          <w:trHeight w:val="476" w:hRule="atLeast"/>
          <w:tblHeader/>
        </w:trPr>
        <w:tc>
          <w:tcPr>
            <w:tcW w:w="55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 w:val="21"/>
                <w:szCs w:val="21"/>
              </w:rPr>
            </w:pPr>
            <w:r>
              <w:rPr>
                <w:rFonts w:ascii="Times New Roman" w:hAnsi="Times New Roman" w:cs="Times New Roman"/>
                <w:color w:val="000000"/>
                <w:sz w:val="21"/>
                <w:szCs w:val="21"/>
              </w:rPr>
              <w:t>序号</w:t>
            </w:r>
          </w:p>
        </w:tc>
        <w:tc>
          <w:tcPr>
            <w:tcW w:w="300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 w:val="21"/>
                <w:szCs w:val="21"/>
              </w:rPr>
            </w:pPr>
            <w:r>
              <w:rPr>
                <w:rFonts w:ascii="Times New Roman" w:hAnsi="Times New Roman" w:cs="Times New Roman"/>
                <w:color w:val="000000"/>
                <w:sz w:val="21"/>
                <w:szCs w:val="21"/>
              </w:rPr>
              <w:t>检验项目</w:t>
            </w:r>
          </w:p>
        </w:tc>
        <w:tc>
          <w:tcPr>
            <w:tcW w:w="246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 w:val="21"/>
                <w:szCs w:val="21"/>
              </w:rPr>
            </w:pPr>
            <w:r>
              <w:rPr>
                <w:rFonts w:hint="default" w:ascii="Times New Roman" w:hAnsi="Times New Roman" w:cs="Times New Roman"/>
                <w:color w:val="000000"/>
                <w:sz w:val="21"/>
                <w:szCs w:val="21"/>
              </w:rPr>
              <w:t>检验依据</w:t>
            </w:r>
          </w:p>
        </w:tc>
        <w:tc>
          <w:tcPr>
            <w:tcW w:w="285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 w:val="21"/>
                <w:szCs w:val="21"/>
              </w:rPr>
            </w:pPr>
            <w:r>
              <w:rPr>
                <w:rFonts w:ascii="Times New Roman" w:hAnsi="Times New Roman" w:cs="Times New Roman"/>
                <w:color w:val="000000"/>
                <w:sz w:val="21"/>
                <w:szCs w:val="21"/>
              </w:rPr>
              <w:t>检验方法</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gridAfter w:val="1"/>
          <w:wAfter w:w="5" w:type="dxa"/>
          <w:trHeight w:val="90" w:hRule="atLeast"/>
        </w:trPr>
        <w:tc>
          <w:tcPr>
            <w:tcW w:w="55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 w:val="21"/>
                <w:szCs w:val="21"/>
              </w:rPr>
            </w:pPr>
            <w:r>
              <w:rPr>
                <w:rFonts w:ascii="Times New Roman" w:hAnsi="Times New Roman" w:cs="Times New Roman"/>
                <w:color w:val="000000"/>
                <w:sz w:val="21"/>
                <w:szCs w:val="21"/>
              </w:rPr>
              <w:t>1</w:t>
            </w:r>
          </w:p>
        </w:tc>
        <w:tc>
          <w:tcPr>
            <w:tcW w:w="3002" w:type="dxa"/>
            <w:gridSpan w:val="2"/>
            <w:tcBorders>
              <w:top w:val="single" w:color="auto" w:sz="4" w:space="0"/>
              <w:left w:val="single" w:color="auto" w:sz="4" w:space="0"/>
              <w:bottom w:val="single" w:color="auto" w:sz="4" w:space="0"/>
              <w:right w:val="single" w:color="auto" w:sz="4" w:space="0"/>
            </w:tcBorders>
            <w:vAlign w:val="top"/>
          </w:tcPr>
          <w:p>
            <w:pPr>
              <w:spacing w:line="312" w:lineRule="auto"/>
              <w:jc w:val="center"/>
              <w:rPr>
                <w:rFonts w:hint="default" w:ascii="Times New Roman" w:hAnsi="Times New Roman" w:cs="Times New Roman"/>
                <w:sz w:val="21"/>
                <w:szCs w:val="21"/>
              </w:rPr>
            </w:pPr>
            <w:r>
              <w:rPr>
                <w:rFonts w:hint="default" w:ascii="Times New Roman" w:hAnsi="Times New Roman" w:cs="Times New Roman"/>
                <w:sz w:val="21"/>
                <w:szCs w:val="21"/>
              </w:rPr>
              <w:t>运动黏度（100℃）</w:t>
            </w:r>
          </w:p>
        </w:tc>
        <w:tc>
          <w:tcPr>
            <w:tcW w:w="2464"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eastAsia="宋体" w:cs="Times New Roman"/>
                <w:sz w:val="21"/>
                <w:szCs w:val="21"/>
              </w:rPr>
            </w:pPr>
            <w:r>
              <w:rPr>
                <w:rFonts w:ascii="Times New Roman" w:hAnsi="Times New Roman" w:cs="Times New Roman"/>
                <w:color w:val="000000"/>
                <w:sz w:val="21"/>
                <w:szCs w:val="21"/>
              </w:rPr>
              <w:t>GB 11121</w:t>
            </w:r>
            <w:r>
              <w:rPr>
                <w:rFonts w:ascii="Times New Roman" w:hAnsi="Times New Roman" w:eastAsia="宋体" w:cs="Times New Roman"/>
                <w:szCs w:val="21"/>
              </w:rPr>
              <w:t>—</w:t>
            </w:r>
            <w:r>
              <w:rPr>
                <w:rFonts w:ascii="Times New Roman" w:hAnsi="Times New Roman" w:cs="Times New Roman"/>
                <w:color w:val="000000"/>
                <w:sz w:val="21"/>
                <w:szCs w:val="21"/>
              </w:rPr>
              <w:t>2006</w:t>
            </w:r>
          </w:p>
        </w:tc>
        <w:tc>
          <w:tcPr>
            <w:tcW w:w="285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kern w:val="2"/>
                <w:sz w:val="21"/>
                <w:szCs w:val="21"/>
                <w:highlight w:val="green"/>
                <w:lang w:val="en-US" w:eastAsia="zh-CN" w:bidi="ar-SA"/>
              </w:rPr>
            </w:pPr>
            <w:r>
              <w:rPr>
                <w:rFonts w:ascii="Times New Roman" w:hAnsi="Times New Roman" w:eastAsia="宋体" w:cs="Times New Roman"/>
                <w:sz w:val="21"/>
                <w:szCs w:val="21"/>
              </w:rPr>
              <w:t>GB/T 265—1988</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gridAfter w:val="1"/>
          <w:wAfter w:w="5" w:type="dxa"/>
          <w:trHeight w:val="377" w:hRule="atLeast"/>
        </w:trPr>
        <w:tc>
          <w:tcPr>
            <w:tcW w:w="55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 w:val="21"/>
                <w:szCs w:val="21"/>
              </w:rPr>
            </w:pPr>
            <w:r>
              <w:rPr>
                <w:rFonts w:ascii="Times New Roman" w:hAnsi="Times New Roman" w:cs="Times New Roman"/>
                <w:color w:val="000000"/>
                <w:sz w:val="21"/>
                <w:szCs w:val="21"/>
              </w:rPr>
              <w:t>2</w:t>
            </w:r>
          </w:p>
        </w:tc>
        <w:tc>
          <w:tcPr>
            <w:tcW w:w="3002" w:type="dxa"/>
            <w:gridSpan w:val="2"/>
            <w:tcBorders>
              <w:top w:val="single" w:color="auto" w:sz="4" w:space="0"/>
              <w:left w:val="single" w:color="auto" w:sz="4" w:space="0"/>
              <w:bottom w:val="single" w:color="auto" w:sz="4" w:space="0"/>
              <w:right w:val="single" w:color="auto" w:sz="4" w:space="0"/>
            </w:tcBorders>
            <w:vAlign w:val="top"/>
          </w:tcPr>
          <w:p>
            <w:pPr>
              <w:spacing w:line="312" w:lineRule="auto"/>
              <w:jc w:val="center"/>
              <w:rPr>
                <w:rFonts w:hint="default" w:ascii="Times New Roman" w:hAnsi="Times New Roman" w:cs="Times New Roman"/>
                <w:sz w:val="21"/>
                <w:szCs w:val="21"/>
              </w:rPr>
            </w:pPr>
            <w:r>
              <w:rPr>
                <w:rFonts w:hint="default" w:ascii="Times New Roman" w:hAnsi="Times New Roman" w:cs="Times New Roman"/>
                <w:sz w:val="21"/>
                <w:szCs w:val="21"/>
              </w:rPr>
              <w:t>低温动力黏度</w:t>
            </w:r>
          </w:p>
        </w:tc>
        <w:tc>
          <w:tcPr>
            <w:tcW w:w="2464" w:type="dxa"/>
            <w:vMerge w:val="continue"/>
            <w:tcBorders>
              <w:left w:val="single" w:color="auto" w:sz="4" w:space="0"/>
              <w:right w:val="single" w:color="auto" w:sz="4" w:space="0"/>
            </w:tcBorders>
            <w:vAlign w:val="center"/>
          </w:tcPr>
          <w:p>
            <w:pPr>
              <w:snapToGrid w:val="0"/>
              <w:jc w:val="center"/>
              <w:rPr>
                <w:rFonts w:ascii="Times New Roman" w:hAnsi="Times New Roman" w:eastAsia="宋体" w:cs="Times New Roman"/>
                <w:sz w:val="21"/>
                <w:szCs w:val="21"/>
              </w:rPr>
            </w:pPr>
          </w:p>
        </w:tc>
        <w:tc>
          <w:tcPr>
            <w:tcW w:w="285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kern w:val="2"/>
                <w:sz w:val="21"/>
                <w:szCs w:val="21"/>
                <w:highlight w:val="green"/>
                <w:lang w:val="en-US" w:eastAsia="zh-CN" w:bidi="ar-SA"/>
              </w:rPr>
            </w:pPr>
            <w:r>
              <w:rPr>
                <w:rFonts w:ascii="Times New Roman" w:hAnsi="Times New Roman" w:eastAsia="宋体" w:cs="Times New Roman"/>
                <w:sz w:val="21"/>
                <w:szCs w:val="21"/>
              </w:rPr>
              <w:t>GB/T 6538—2022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gridAfter w:val="1"/>
          <w:wAfter w:w="5" w:type="dxa"/>
          <w:trHeight w:val="142" w:hRule="atLeast"/>
        </w:trPr>
        <w:tc>
          <w:tcPr>
            <w:tcW w:w="55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 w:val="21"/>
                <w:szCs w:val="21"/>
              </w:rPr>
            </w:pPr>
            <w:r>
              <w:rPr>
                <w:rFonts w:ascii="Times New Roman" w:hAnsi="Times New Roman" w:cs="Times New Roman"/>
                <w:color w:val="000000"/>
                <w:sz w:val="21"/>
                <w:szCs w:val="21"/>
              </w:rPr>
              <w:t>3</w:t>
            </w:r>
          </w:p>
        </w:tc>
        <w:tc>
          <w:tcPr>
            <w:tcW w:w="3002" w:type="dxa"/>
            <w:gridSpan w:val="2"/>
            <w:tcBorders>
              <w:top w:val="single" w:color="auto" w:sz="4" w:space="0"/>
              <w:left w:val="single" w:color="auto" w:sz="4" w:space="0"/>
              <w:bottom w:val="single" w:color="auto" w:sz="4" w:space="0"/>
              <w:right w:val="single" w:color="auto" w:sz="4" w:space="0"/>
            </w:tcBorders>
            <w:vAlign w:val="top"/>
          </w:tcPr>
          <w:p>
            <w:pPr>
              <w:spacing w:line="312" w:lineRule="auto"/>
              <w:jc w:val="center"/>
              <w:rPr>
                <w:rFonts w:hint="default" w:ascii="Times New Roman" w:hAnsi="Times New Roman" w:cs="Times New Roman"/>
                <w:sz w:val="21"/>
                <w:szCs w:val="21"/>
              </w:rPr>
            </w:pPr>
            <w:r>
              <w:rPr>
                <w:rFonts w:hint="default" w:ascii="Times New Roman" w:hAnsi="Times New Roman" w:cs="Times New Roman"/>
                <w:sz w:val="21"/>
                <w:szCs w:val="21"/>
              </w:rPr>
              <w:t>低温泵送黏度</w:t>
            </w:r>
          </w:p>
        </w:tc>
        <w:tc>
          <w:tcPr>
            <w:tcW w:w="2464" w:type="dxa"/>
            <w:vMerge w:val="continue"/>
            <w:tcBorders>
              <w:left w:val="single" w:color="auto" w:sz="4" w:space="0"/>
              <w:right w:val="single" w:color="auto" w:sz="4" w:space="0"/>
            </w:tcBorders>
            <w:vAlign w:val="center"/>
          </w:tcPr>
          <w:p>
            <w:pPr>
              <w:snapToGrid/>
              <w:ind w:firstLine="1050" w:firstLineChars="500"/>
              <w:jc w:val="left"/>
              <w:rPr>
                <w:rFonts w:ascii="Times New Roman" w:hAnsi="Times New Roman" w:cs="Times New Roman"/>
                <w:color w:val="000000"/>
                <w:kern w:val="2"/>
                <w:sz w:val="21"/>
                <w:szCs w:val="21"/>
                <w:highlight w:val="green"/>
                <w:lang w:val="en-US" w:eastAsia="zh-CN" w:bidi="ar-SA"/>
              </w:rPr>
            </w:pPr>
          </w:p>
        </w:tc>
        <w:tc>
          <w:tcPr>
            <w:tcW w:w="2855" w:type="dxa"/>
            <w:tcBorders>
              <w:top w:val="single" w:color="auto" w:sz="4" w:space="0"/>
              <w:left w:val="single" w:color="auto" w:sz="4" w:space="0"/>
              <w:bottom w:val="single" w:color="auto" w:sz="4" w:space="0"/>
              <w:right w:val="single" w:color="auto" w:sz="4" w:space="0"/>
            </w:tcBorders>
            <w:vAlign w:val="center"/>
          </w:tcPr>
          <w:p>
            <w:pPr>
              <w:snapToGrid/>
              <w:ind w:firstLine="420" w:firstLineChars="200"/>
              <w:jc w:val="left"/>
              <w:rPr>
                <w:rFonts w:ascii="Times New Roman" w:hAnsi="Times New Roman" w:cs="Times New Roman"/>
                <w:color w:val="000000"/>
                <w:kern w:val="2"/>
                <w:sz w:val="21"/>
                <w:szCs w:val="21"/>
                <w:highlight w:val="green"/>
                <w:lang w:val="en-US" w:eastAsia="zh-CN" w:bidi="ar-SA"/>
              </w:rPr>
            </w:pPr>
            <w:r>
              <w:rPr>
                <w:rFonts w:ascii="Times New Roman" w:hAnsi="Times New Roman" w:eastAsia="宋体" w:cs="Times New Roman"/>
                <w:sz w:val="21"/>
                <w:szCs w:val="21"/>
              </w:rPr>
              <w:t>NB/SH/T 0562—2013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gridAfter w:val="1"/>
          <w:wAfter w:w="5" w:type="dxa"/>
          <w:trHeight w:val="171" w:hRule="atLeast"/>
        </w:trPr>
        <w:tc>
          <w:tcPr>
            <w:tcW w:w="552"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4</w:t>
            </w:r>
          </w:p>
        </w:tc>
        <w:tc>
          <w:tcPr>
            <w:tcW w:w="3002" w:type="dxa"/>
            <w:gridSpan w:val="2"/>
            <w:tcBorders>
              <w:top w:val="single" w:color="auto" w:sz="4" w:space="0"/>
              <w:left w:val="single" w:color="auto" w:sz="4" w:space="0"/>
              <w:bottom w:val="single" w:color="auto" w:sz="4" w:space="0"/>
              <w:right w:val="single" w:color="auto" w:sz="4" w:space="0"/>
            </w:tcBorders>
            <w:vAlign w:val="top"/>
          </w:tcPr>
          <w:p>
            <w:pPr>
              <w:spacing w:line="312" w:lineRule="auto"/>
              <w:jc w:val="center"/>
              <w:rPr>
                <w:rFonts w:hint="default" w:ascii="Times New Roman" w:hAnsi="Times New Roman" w:cs="Times New Roman"/>
                <w:sz w:val="21"/>
                <w:szCs w:val="21"/>
              </w:rPr>
            </w:pPr>
            <w:r>
              <w:rPr>
                <w:rFonts w:hint="default" w:ascii="Times New Roman" w:hAnsi="Times New Roman" w:cs="Times New Roman"/>
                <w:sz w:val="21"/>
                <w:szCs w:val="21"/>
              </w:rPr>
              <w:t>闪点（开口）</w:t>
            </w:r>
          </w:p>
        </w:tc>
        <w:tc>
          <w:tcPr>
            <w:tcW w:w="2464" w:type="dxa"/>
            <w:vMerge w:val="continue"/>
            <w:tcBorders>
              <w:left w:val="single" w:color="auto" w:sz="4" w:space="0"/>
              <w:right w:val="single" w:color="auto" w:sz="4" w:space="0"/>
            </w:tcBorders>
            <w:vAlign w:val="center"/>
          </w:tcPr>
          <w:p>
            <w:pPr>
              <w:snapToGrid w:val="0"/>
              <w:jc w:val="center"/>
              <w:rPr>
                <w:rFonts w:ascii="Times New Roman" w:hAnsi="Times New Roman" w:eastAsia="宋体" w:cs="Times New Roman"/>
                <w:sz w:val="21"/>
                <w:szCs w:val="21"/>
              </w:rPr>
            </w:pPr>
          </w:p>
        </w:tc>
        <w:tc>
          <w:tcPr>
            <w:tcW w:w="285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kern w:val="2"/>
                <w:sz w:val="21"/>
                <w:szCs w:val="21"/>
                <w:highlight w:val="green"/>
                <w:lang w:val="en-US" w:eastAsia="zh-CN" w:bidi="ar-SA"/>
              </w:rPr>
            </w:pPr>
            <w:r>
              <w:rPr>
                <w:rFonts w:ascii="Times New Roman" w:hAnsi="Times New Roman" w:eastAsia="宋体" w:cs="Times New Roman"/>
                <w:sz w:val="21"/>
                <w:szCs w:val="21"/>
              </w:rPr>
              <w:t>GB/T 3536—2008</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gridAfter w:val="1"/>
          <w:wAfter w:w="5" w:type="dxa"/>
          <w:trHeight w:val="171" w:hRule="atLeast"/>
        </w:trPr>
        <w:tc>
          <w:tcPr>
            <w:tcW w:w="55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 w:val="21"/>
                <w:szCs w:val="21"/>
              </w:rPr>
            </w:pPr>
            <w:r>
              <w:rPr>
                <w:rFonts w:hint="default" w:ascii="Times New Roman" w:hAnsi="Times New Roman" w:cs="Times New Roman"/>
                <w:color w:val="000000"/>
                <w:sz w:val="21"/>
                <w:szCs w:val="21"/>
              </w:rPr>
              <w:t>5</w:t>
            </w:r>
          </w:p>
        </w:tc>
        <w:tc>
          <w:tcPr>
            <w:tcW w:w="3002" w:type="dxa"/>
            <w:gridSpan w:val="2"/>
            <w:tcBorders>
              <w:top w:val="single" w:color="auto" w:sz="4" w:space="0"/>
              <w:left w:val="single" w:color="auto" w:sz="4" w:space="0"/>
              <w:bottom w:val="single" w:color="auto" w:sz="4" w:space="0"/>
              <w:right w:val="single" w:color="auto" w:sz="4" w:space="0"/>
            </w:tcBorders>
            <w:vAlign w:val="top"/>
          </w:tcPr>
          <w:p>
            <w:pPr>
              <w:spacing w:line="312" w:lineRule="auto"/>
              <w:jc w:val="center"/>
              <w:rPr>
                <w:rFonts w:hint="default" w:ascii="Times New Roman" w:hAnsi="Times New Roman" w:cs="Times New Roman"/>
                <w:sz w:val="21"/>
                <w:szCs w:val="21"/>
              </w:rPr>
            </w:pPr>
            <w:r>
              <w:rPr>
                <w:rFonts w:hint="default" w:ascii="Times New Roman" w:hAnsi="Times New Roman" w:cs="Times New Roman"/>
                <w:sz w:val="21"/>
                <w:szCs w:val="21"/>
              </w:rPr>
              <w:t>倾点</w:t>
            </w:r>
          </w:p>
        </w:tc>
        <w:tc>
          <w:tcPr>
            <w:tcW w:w="2464" w:type="dxa"/>
            <w:vMerge w:val="continue"/>
            <w:tcBorders>
              <w:left w:val="single" w:color="auto" w:sz="4" w:space="0"/>
              <w:right w:val="single" w:color="auto" w:sz="4" w:space="0"/>
            </w:tcBorders>
            <w:vAlign w:val="center"/>
          </w:tcPr>
          <w:p>
            <w:pPr>
              <w:snapToGrid w:val="0"/>
              <w:jc w:val="center"/>
              <w:rPr>
                <w:rFonts w:ascii="Times New Roman" w:hAnsi="Times New Roman" w:eastAsia="宋体" w:cs="Times New Roman"/>
                <w:sz w:val="21"/>
                <w:szCs w:val="21"/>
              </w:rPr>
            </w:pPr>
          </w:p>
        </w:tc>
        <w:tc>
          <w:tcPr>
            <w:tcW w:w="285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kern w:val="2"/>
                <w:sz w:val="21"/>
                <w:szCs w:val="21"/>
                <w:highlight w:val="green"/>
                <w:lang w:val="en-US" w:eastAsia="zh-CN" w:bidi="ar-SA"/>
              </w:rPr>
            </w:pPr>
            <w:r>
              <w:rPr>
                <w:rFonts w:ascii="Times New Roman" w:hAnsi="Times New Roman" w:eastAsia="宋体" w:cs="Times New Roman"/>
                <w:sz w:val="21"/>
                <w:szCs w:val="21"/>
              </w:rPr>
              <w:t>GB/T 3535—2006</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430" w:hRule="atLeast"/>
        </w:trPr>
        <w:tc>
          <w:tcPr>
            <w:tcW w:w="552"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color w:val="000000"/>
                <w:sz w:val="21"/>
                <w:szCs w:val="21"/>
              </w:rPr>
            </w:pPr>
            <w:r>
              <w:rPr>
                <w:rFonts w:hint="default" w:ascii="Times New Roman" w:hAnsi="Times New Roman" w:cs="Times New Roman"/>
                <w:color w:val="000000"/>
                <w:sz w:val="21"/>
                <w:szCs w:val="21"/>
              </w:rPr>
              <w:t>6</w:t>
            </w:r>
          </w:p>
        </w:tc>
        <w:tc>
          <w:tcPr>
            <w:tcW w:w="1220" w:type="dxa"/>
            <w:vMerge w:val="restart"/>
            <w:tcBorders>
              <w:top w:val="single" w:color="auto" w:sz="4" w:space="0"/>
              <w:left w:val="single" w:color="auto" w:sz="4" w:space="0"/>
              <w:right w:val="single" w:color="auto" w:sz="4" w:space="0"/>
            </w:tcBorders>
            <w:vAlign w:val="center"/>
          </w:tcPr>
          <w:p>
            <w:pPr>
              <w:spacing w:line="312" w:lineRule="auto"/>
              <w:jc w:val="center"/>
              <w:rPr>
                <w:rFonts w:hint="default" w:ascii="Times New Roman" w:hAnsi="Times New Roman" w:cs="Times New Roman"/>
                <w:sz w:val="21"/>
                <w:szCs w:val="21"/>
              </w:rPr>
            </w:pPr>
            <w:r>
              <w:rPr>
                <w:rFonts w:hint="default" w:ascii="Times New Roman" w:hAnsi="Times New Roman" w:cs="Times New Roman"/>
                <w:sz w:val="21"/>
                <w:szCs w:val="21"/>
              </w:rPr>
              <w:t>泡沫性</w:t>
            </w:r>
          </w:p>
          <w:p>
            <w:pPr>
              <w:spacing w:line="312" w:lineRule="auto"/>
              <w:jc w:val="center"/>
              <w:rPr>
                <w:rFonts w:hint="default" w:ascii="Times New Roman" w:hAnsi="Times New Roman" w:cs="Times New Roman"/>
                <w:sz w:val="21"/>
                <w:szCs w:val="21"/>
              </w:rPr>
            </w:pPr>
            <w:r>
              <w:rPr>
                <w:rFonts w:ascii="Times New Roman" w:hAnsi="Times New Roman" w:cs="Times New Roman"/>
                <w:sz w:val="21"/>
                <w:szCs w:val="21"/>
              </w:rPr>
              <w:t>（泡沫倾向/泡沫稳定性）</w:t>
            </w:r>
          </w:p>
        </w:tc>
        <w:tc>
          <w:tcPr>
            <w:tcW w:w="1782" w:type="dxa"/>
            <w:tcBorders>
              <w:top w:val="single" w:color="auto" w:sz="4" w:space="0"/>
              <w:left w:val="single" w:color="auto" w:sz="4" w:space="0"/>
              <w:bottom w:val="single" w:color="auto" w:sz="4" w:space="0"/>
              <w:right w:val="single" w:color="auto" w:sz="4" w:space="0"/>
            </w:tcBorders>
            <w:vAlign w:val="center"/>
          </w:tcPr>
          <w:p>
            <w:pPr>
              <w:tabs>
                <w:tab w:val="left" w:pos="2691"/>
              </w:tabs>
              <w:jc w:val="center"/>
              <w:rPr>
                <w:rFonts w:hint="default" w:ascii="Times New Roman" w:hAnsi="Times New Roman" w:cs="Times New Roman"/>
                <w:sz w:val="21"/>
                <w:szCs w:val="21"/>
                <w:highlight w:val="green"/>
              </w:rPr>
            </w:pPr>
            <w:r>
              <w:rPr>
                <w:rFonts w:ascii="Times New Roman" w:hAnsi="Times New Roman" w:cs="Times New Roman"/>
                <w:sz w:val="21"/>
                <w:szCs w:val="21"/>
              </w:rPr>
              <w:t>24℃</w:t>
            </w:r>
          </w:p>
        </w:tc>
        <w:tc>
          <w:tcPr>
            <w:tcW w:w="2464" w:type="dxa"/>
            <w:vMerge w:val="continue"/>
            <w:tcBorders>
              <w:left w:val="single" w:color="auto" w:sz="4" w:space="0"/>
              <w:right w:val="single" w:color="auto" w:sz="4" w:space="0"/>
            </w:tcBorders>
            <w:vAlign w:val="center"/>
          </w:tcPr>
          <w:p>
            <w:pPr>
              <w:snapToGrid w:val="0"/>
              <w:jc w:val="center"/>
              <w:rPr>
                <w:rFonts w:ascii="Times New Roman" w:hAnsi="Times New Roman" w:cs="Times New Roman"/>
                <w:sz w:val="21"/>
                <w:szCs w:val="21"/>
              </w:rPr>
            </w:pPr>
          </w:p>
        </w:tc>
        <w:tc>
          <w:tcPr>
            <w:tcW w:w="2860" w:type="dxa"/>
            <w:gridSpan w:val="2"/>
            <w:vMerge w:val="restart"/>
            <w:tcBorders>
              <w:top w:val="single" w:color="auto" w:sz="4" w:space="0"/>
              <w:left w:val="single" w:color="auto" w:sz="4" w:space="0"/>
              <w:right w:val="single" w:color="auto" w:sz="4" w:space="0"/>
            </w:tcBorders>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GB/T 12579—2002</w:t>
            </w:r>
          </w:p>
          <w:p>
            <w:pPr>
              <w:snapToGrid w:val="0"/>
              <w:jc w:val="center"/>
              <w:rPr>
                <w:rFonts w:ascii="Times New Roman" w:hAnsi="Times New Roman" w:cs="Times New Roman"/>
                <w:sz w:val="21"/>
                <w:szCs w:val="21"/>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415" w:hRule="atLeast"/>
        </w:trPr>
        <w:tc>
          <w:tcPr>
            <w:tcW w:w="552" w:type="dxa"/>
            <w:vMerge w:val="continue"/>
            <w:tcBorders>
              <w:left w:val="single" w:color="auto" w:sz="4" w:space="0"/>
              <w:right w:val="single" w:color="auto" w:sz="4" w:space="0"/>
            </w:tcBorders>
            <w:vAlign w:val="center"/>
          </w:tcPr>
          <w:p>
            <w:pPr>
              <w:spacing w:line="312" w:lineRule="auto"/>
              <w:jc w:val="center"/>
              <w:rPr>
                <w:rFonts w:ascii="Times New Roman" w:hAnsi="Times New Roman" w:cs="Times New Roman"/>
                <w:sz w:val="21"/>
                <w:szCs w:val="21"/>
              </w:rPr>
            </w:pPr>
          </w:p>
        </w:tc>
        <w:tc>
          <w:tcPr>
            <w:tcW w:w="1220" w:type="dxa"/>
            <w:vMerge w:val="continue"/>
            <w:tcBorders>
              <w:left w:val="single" w:color="auto" w:sz="4" w:space="0"/>
              <w:right w:val="single" w:color="auto" w:sz="4" w:space="0"/>
            </w:tcBorders>
            <w:vAlign w:val="center"/>
          </w:tcPr>
          <w:p>
            <w:pPr>
              <w:spacing w:line="312" w:lineRule="auto"/>
              <w:jc w:val="center"/>
              <w:rPr>
                <w:rFonts w:ascii="Times New Roman" w:hAnsi="Times New Roman" w:cs="Times New Roman"/>
                <w:sz w:val="21"/>
                <w:szCs w:val="21"/>
              </w:rPr>
            </w:pPr>
          </w:p>
        </w:tc>
        <w:tc>
          <w:tcPr>
            <w:tcW w:w="1782" w:type="dxa"/>
            <w:tcBorders>
              <w:top w:val="single" w:color="auto" w:sz="4" w:space="0"/>
              <w:left w:val="single" w:color="auto" w:sz="4" w:space="0"/>
              <w:bottom w:val="single" w:color="auto" w:sz="4" w:space="0"/>
              <w:right w:val="single" w:color="auto" w:sz="4" w:space="0"/>
            </w:tcBorders>
            <w:vAlign w:val="center"/>
          </w:tcPr>
          <w:p>
            <w:pPr>
              <w:tabs>
                <w:tab w:val="left" w:pos="2691"/>
              </w:tabs>
              <w:jc w:val="center"/>
              <w:rPr>
                <w:rFonts w:hint="default" w:ascii="Times New Roman" w:hAnsi="Times New Roman" w:cs="Times New Roman"/>
                <w:sz w:val="21"/>
                <w:szCs w:val="21"/>
                <w:highlight w:val="green"/>
              </w:rPr>
            </w:pPr>
            <w:r>
              <w:rPr>
                <w:rFonts w:ascii="Times New Roman" w:hAnsi="Times New Roman" w:cs="Times New Roman"/>
                <w:sz w:val="21"/>
                <w:szCs w:val="21"/>
              </w:rPr>
              <w:t>93.5℃</w:t>
            </w:r>
          </w:p>
        </w:tc>
        <w:tc>
          <w:tcPr>
            <w:tcW w:w="2464" w:type="dxa"/>
            <w:vMerge w:val="continue"/>
            <w:tcBorders>
              <w:left w:val="single" w:color="auto" w:sz="4" w:space="0"/>
              <w:right w:val="single" w:color="auto" w:sz="4" w:space="0"/>
            </w:tcBorders>
            <w:vAlign w:val="center"/>
          </w:tcPr>
          <w:p>
            <w:pPr>
              <w:spacing w:line="312" w:lineRule="auto"/>
              <w:jc w:val="center"/>
              <w:rPr>
                <w:rFonts w:hint="default" w:ascii="Times New Roman" w:hAnsi="Times New Roman" w:cs="Times New Roman"/>
                <w:sz w:val="21"/>
                <w:szCs w:val="21"/>
              </w:rPr>
            </w:pPr>
          </w:p>
        </w:tc>
        <w:tc>
          <w:tcPr>
            <w:tcW w:w="2860" w:type="dxa"/>
            <w:gridSpan w:val="2"/>
            <w:vMerge w:val="continue"/>
            <w:tcBorders>
              <w:left w:val="single" w:color="auto" w:sz="4" w:space="0"/>
              <w:right w:val="single" w:color="auto" w:sz="4" w:space="0"/>
            </w:tcBorders>
            <w:vAlign w:val="center"/>
          </w:tcPr>
          <w:p>
            <w:pPr>
              <w:spacing w:line="312" w:lineRule="auto"/>
              <w:jc w:val="center"/>
              <w:rPr>
                <w:rFonts w:hint="default" w:ascii="Times New Roman" w:hAnsi="Times New Roman" w:cs="Times New Roman"/>
                <w:sz w:val="21"/>
                <w:szCs w:val="21"/>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428" w:hRule="atLeast"/>
        </w:trPr>
        <w:tc>
          <w:tcPr>
            <w:tcW w:w="552" w:type="dxa"/>
            <w:vMerge w:val="continue"/>
            <w:tcBorders>
              <w:left w:val="single" w:color="auto" w:sz="4" w:space="0"/>
              <w:right w:val="single" w:color="auto" w:sz="4" w:space="0"/>
            </w:tcBorders>
            <w:vAlign w:val="center"/>
          </w:tcPr>
          <w:p>
            <w:pPr>
              <w:spacing w:line="312" w:lineRule="auto"/>
              <w:jc w:val="center"/>
              <w:rPr>
                <w:rFonts w:hint="default" w:ascii="Times New Roman" w:hAnsi="Times New Roman" w:cs="Times New Roman"/>
                <w:sz w:val="21"/>
                <w:szCs w:val="21"/>
              </w:rPr>
            </w:pPr>
          </w:p>
        </w:tc>
        <w:tc>
          <w:tcPr>
            <w:tcW w:w="1220" w:type="dxa"/>
            <w:vMerge w:val="continue"/>
            <w:tcBorders>
              <w:left w:val="single" w:color="auto" w:sz="4" w:space="0"/>
              <w:right w:val="single" w:color="auto" w:sz="4" w:space="0"/>
            </w:tcBorders>
            <w:vAlign w:val="center"/>
          </w:tcPr>
          <w:p>
            <w:pPr>
              <w:spacing w:line="312" w:lineRule="auto"/>
              <w:jc w:val="center"/>
              <w:rPr>
                <w:rFonts w:hint="default" w:ascii="Times New Roman" w:hAnsi="Times New Roman" w:cs="Times New Roman"/>
                <w:sz w:val="21"/>
                <w:szCs w:val="21"/>
              </w:rPr>
            </w:pPr>
          </w:p>
        </w:tc>
        <w:tc>
          <w:tcPr>
            <w:tcW w:w="1782" w:type="dxa"/>
            <w:tcBorders>
              <w:top w:val="single" w:color="auto" w:sz="4" w:space="0"/>
              <w:left w:val="single" w:color="auto" w:sz="4" w:space="0"/>
              <w:bottom w:val="single" w:color="auto" w:sz="4" w:space="0"/>
              <w:right w:val="single" w:color="auto" w:sz="4" w:space="0"/>
            </w:tcBorders>
            <w:vAlign w:val="center"/>
          </w:tcPr>
          <w:p>
            <w:pPr>
              <w:tabs>
                <w:tab w:val="left" w:pos="2691"/>
              </w:tabs>
              <w:jc w:val="center"/>
              <w:rPr>
                <w:rFonts w:hint="default" w:ascii="Times New Roman" w:hAnsi="Times New Roman" w:cs="Times New Roman"/>
                <w:sz w:val="21"/>
                <w:szCs w:val="21"/>
                <w:highlight w:val="green"/>
              </w:rPr>
            </w:pPr>
            <w:r>
              <w:rPr>
                <w:rFonts w:ascii="Times New Roman" w:hAnsi="Times New Roman" w:cs="Times New Roman"/>
                <w:sz w:val="21"/>
                <w:szCs w:val="21"/>
              </w:rPr>
              <w:t>后24℃</w:t>
            </w:r>
          </w:p>
        </w:tc>
        <w:tc>
          <w:tcPr>
            <w:tcW w:w="2464" w:type="dxa"/>
            <w:vMerge w:val="continue"/>
            <w:tcBorders>
              <w:left w:val="single" w:color="auto" w:sz="4" w:space="0"/>
              <w:right w:val="single" w:color="auto" w:sz="4" w:space="0"/>
            </w:tcBorders>
            <w:vAlign w:val="center"/>
          </w:tcPr>
          <w:p>
            <w:pPr>
              <w:spacing w:line="312" w:lineRule="auto"/>
              <w:jc w:val="center"/>
              <w:rPr>
                <w:rFonts w:hint="default" w:ascii="Times New Roman" w:hAnsi="Times New Roman" w:cs="Times New Roman"/>
                <w:sz w:val="21"/>
                <w:szCs w:val="21"/>
              </w:rPr>
            </w:pPr>
          </w:p>
        </w:tc>
        <w:tc>
          <w:tcPr>
            <w:tcW w:w="2860" w:type="dxa"/>
            <w:gridSpan w:val="2"/>
            <w:vMerge w:val="continue"/>
            <w:tcBorders>
              <w:left w:val="single" w:color="auto" w:sz="4" w:space="0"/>
              <w:bottom w:val="single" w:color="auto" w:sz="4" w:space="0"/>
              <w:right w:val="single" w:color="auto" w:sz="4" w:space="0"/>
            </w:tcBorders>
            <w:vAlign w:val="center"/>
          </w:tcPr>
          <w:p>
            <w:pPr>
              <w:spacing w:line="312" w:lineRule="auto"/>
              <w:jc w:val="center"/>
              <w:rPr>
                <w:rFonts w:hint="default" w:ascii="Times New Roman" w:hAnsi="Times New Roman" w:cs="Times New Roman"/>
                <w:sz w:val="21"/>
                <w:szCs w:val="21"/>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525" w:hRule="atLeast"/>
        </w:trPr>
        <w:tc>
          <w:tcPr>
            <w:tcW w:w="552" w:type="dxa"/>
            <w:vMerge w:val="continue"/>
            <w:tcBorders>
              <w:left w:val="single" w:color="auto" w:sz="4" w:space="0"/>
              <w:bottom w:val="single" w:color="auto" w:sz="4" w:space="0"/>
              <w:right w:val="single" w:color="auto" w:sz="4" w:space="0"/>
            </w:tcBorders>
            <w:vAlign w:val="center"/>
          </w:tcPr>
          <w:p>
            <w:pPr>
              <w:spacing w:line="312" w:lineRule="auto"/>
              <w:jc w:val="center"/>
              <w:rPr>
                <w:rFonts w:hint="default" w:ascii="Times New Roman" w:hAnsi="Times New Roman" w:cs="Times New Roman"/>
                <w:sz w:val="21"/>
                <w:szCs w:val="21"/>
              </w:rPr>
            </w:pPr>
          </w:p>
        </w:tc>
        <w:tc>
          <w:tcPr>
            <w:tcW w:w="1220" w:type="dxa"/>
            <w:vMerge w:val="continue"/>
            <w:tcBorders>
              <w:left w:val="single" w:color="auto" w:sz="4" w:space="0"/>
              <w:bottom w:val="single" w:color="auto" w:sz="4" w:space="0"/>
              <w:right w:val="single" w:color="auto" w:sz="4" w:space="0"/>
            </w:tcBorders>
            <w:vAlign w:val="center"/>
          </w:tcPr>
          <w:p>
            <w:pPr>
              <w:spacing w:line="312" w:lineRule="auto"/>
              <w:jc w:val="center"/>
              <w:rPr>
                <w:rFonts w:hint="default" w:ascii="Times New Roman" w:hAnsi="Times New Roman" w:cs="Times New Roman"/>
                <w:sz w:val="21"/>
                <w:szCs w:val="21"/>
              </w:rPr>
            </w:pPr>
          </w:p>
        </w:tc>
        <w:tc>
          <w:tcPr>
            <w:tcW w:w="1782" w:type="dxa"/>
            <w:tcBorders>
              <w:top w:val="single" w:color="auto" w:sz="4" w:space="0"/>
              <w:left w:val="single" w:color="auto" w:sz="4" w:space="0"/>
              <w:bottom w:val="single" w:color="auto" w:sz="4" w:space="0"/>
              <w:right w:val="single" w:color="auto" w:sz="4" w:space="0"/>
            </w:tcBorders>
            <w:vAlign w:val="center"/>
          </w:tcPr>
          <w:p>
            <w:pPr>
              <w:tabs>
                <w:tab w:val="left" w:pos="2691"/>
              </w:tabs>
              <w:jc w:val="center"/>
              <w:rPr>
                <w:rFonts w:hint="default" w:ascii="Times New Roman" w:hAnsi="Times New Roman" w:cs="Times New Roman"/>
                <w:sz w:val="21"/>
                <w:szCs w:val="21"/>
                <w:highlight w:val="green"/>
              </w:rPr>
            </w:pPr>
            <w:r>
              <w:rPr>
                <w:rFonts w:ascii="Times New Roman" w:hAnsi="Times New Roman" w:cs="Times New Roman"/>
                <w:sz w:val="21"/>
                <w:szCs w:val="21"/>
              </w:rPr>
              <w:t xml:space="preserve">150℃ </w:t>
            </w:r>
          </w:p>
        </w:tc>
        <w:tc>
          <w:tcPr>
            <w:tcW w:w="2464" w:type="dxa"/>
            <w:vMerge w:val="continue"/>
            <w:tcBorders>
              <w:left w:val="single" w:color="auto" w:sz="4" w:space="0"/>
              <w:right w:val="single" w:color="auto" w:sz="4" w:space="0"/>
            </w:tcBorders>
            <w:vAlign w:val="center"/>
          </w:tcPr>
          <w:p>
            <w:pPr>
              <w:spacing w:line="312" w:lineRule="auto"/>
              <w:jc w:val="center"/>
              <w:rPr>
                <w:rFonts w:ascii="Times New Roman" w:hAnsi="Times New Roman" w:eastAsia="宋体" w:cs="Times New Roman"/>
                <w:sz w:val="21"/>
                <w:szCs w:val="21"/>
              </w:rPr>
            </w:pPr>
          </w:p>
        </w:tc>
        <w:tc>
          <w:tcPr>
            <w:tcW w:w="2860"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hint="default" w:ascii="Times New Roman" w:hAnsi="Times New Roman" w:cs="Times New Roman"/>
                <w:sz w:val="21"/>
                <w:szCs w:val="21"/>
              </w:rPr>
            </w:pPr>
            <w:r>
              <w:rPr>
                <w:rFonts w:ascii="Times New Roman" w:hAnsi="Times New Roman" w:eastAsia="宋体" w:cs="Times New Roman"/>
                <w:sz w:val="21"/>
                <w:szCs w:val="21"/>
              </w:rPr>
              <w:t>SH/T 0722—2002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171" w:hRule="atLeast"/>
        </w:trPr>
        <w:tc>
          <w:tcPr>
            <w:tcW w:w="55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 w:val="21"/>
                <w:szCs w:val="21"/>
              </w:rPr>
            </w:pPr>
            <w:r>
              <w:rPr>
                <w:rFonts w:hint="default" w:ascii="Times New Roman" w:hAnsi="Times New Roman" w:cs="Times New Roman"/>
                <w:color w:val="000000"/>
                <w:sz w:val="21"/>
                <w:szCs w:val="21"/>
              </w:rPr>
              <w:t>7</w:t>
            </w:r>
          </w:p>
        </w:tc>
        <w:tc>
          <w:tcPr>
            <w:tcW w:w="3002"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hint="default" w:ascii="Times New Roman" w:hAnsi="Times New Roman" w:cs="Times New Roman"/>
                <w:sz w:val="21"/>
                <w:szCs w:val="21"/>
              </w:rPr>
            </w:pPr>
            <w:r>
              <w:rPr>
                <w:rFonts w:hint="default" w:ascii="Times New Roman" w:hAnsi="Times New Roman" w:cs="Times New Roman"/>
                <w:sz w:val="21"/>
                <w:szCs w:val="21"/>
              </w:rPr>
              <w:t>水分</w:t>
            </w:r>
          </w:p>
        </w:tc>
        <w:tc>
          <w:tcPr>
            <w:tcW w:w="2464" w:type="dxa"/>
            <w:vMerge w:val="continue"/>
            <w:tcBorders>
              <w:left w:val="single" w:color="auto" w:sz="4" w:space="0"/>
              <w:right w:val="single" w:color="auto" w:sz="4" w:space="0"/>
            </w:tcBorders>
            <w:vAlign w:val="center"/>
          </w:tcPr>
          <w:p>
            <w:pPr>
              <w:snapToGrid w:val="0"/>
              <w:jc w:val="center"/>
              <w:rPr>
                <w:rFonts w:ascii="Times New Roman" w:hAnsi="Times New Roman" w:eastAsia="宋体" w:cs="Times New Roman"/>
                <w:sz w:val="21"/>
                <w:szCs w:val="21"/>
              </w:rPr>
            </w:pPr>
          </w:p>
        </w:tc>
        <w:tc>
          <w:tcPr>
            <w:tcW w:w="286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 w:val="21"/>
                <w:szCs w:val="21"/>
                <w:highlight w:val="green"/>
              </w:rPr>
            </w:pPr>
            <w:r>
              <w:rPr>
                <w:rFonts w:ascii="Times New Roman" w:hAnsi="Times New Roman" w:eastAsia="宋体" w:cs="Times New Roman"/>
                <w:sz w:val="21"/>
                <w:szCs w:val="21"/>
              </w:rPr>
              <w:t>GB/T 260—2016</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171" w:hRule="atLeast"/>
        </w:trPr>
        <w:tc>
          <w:tcPr>
            <w:tcW w:w="55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 w:val="21"/>
                <w:szCs w:val="21"/>
              </w:rPr>
            </w:pPr>
            <w:r>
              <w:rPr>
                <w:rFonts w:hint="default" w:ascii="Times New Roman" w:hAnsi="Times New Roman" w:cs="Times New Roman"/>
                <w:color w:val="000000"/>
                <w:sz w:val="21"/>
                <w:szCs w:val="21"/>
              </w:rPr>
              <w:t>8</w:t>
            </w:r>
          </w:p>
        </w:tc>
        <w:tc>
          <w:tcPr>
            <w:tcW w:w="3002"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hint="default" w:ascii="Times New Roman" w:hAnsi="Times New Roman" w:cs="Times New Roman"/>
                <w:sz w:val="21"/>
                <w:szCs w:val="21"/>
              </w:rPr>
            </w:pPr>
            <w:r>
              <w:rPr>
                <w:rFonts w:hint="default" w:ascii="Times New Roman" w:hAnsi="Times New Roman" w:cs="Times New Roman"/>
                <w:sz w:val="21"/>
                <w:szCs w:val="21"/>
              </w:rPr>
              <w:t>高温高剪切黏度</w:t>
            </w:r>
          </w:p>
        </w:tc>
        <w:tc>
          <w:tcPr>
            <w:tcW w:w="2464" w:type="dxa"/>
            <w:vMerge w:val="continue"/>
            <w:tcBorders>
              <w:left w:val="single" w:color="auto" w:sz="4" w:space="0"/>
              <w:right w:val="single" w:color="auto" w:sz="4" w:space="0"/>
            </w:tcBorders>
            <w:vAlign w:val="center"/>
          </w:tcPr>
          <w:p>
            <w:pPr>
              <w:snapToGrid w:val="0"/>
              <w:ind w:firstLine="1260" w:firstLineChars="600"/>
              <w:jc w:val="both"/>
              <w:rPr>
                <w:rFonts w:ascii="Times New Roman" w:hAnsi="Times New Roman" w:eastAsia="宋体" w:cs="Times New Roman"/>
                <w:sz w:val="21"/>
                <w:szCs w:val="21"/>
              </w:rPr>
            </w:pPr>
          </w:p>
        </w:tc>
        <w:tc>
          <w:tcPr>
            <w:tcW w:w="28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SH/T 0618—1995</w:t>
            </w:r>
          </w:p>
          <w:p>
            <w:pPr>
              <w:jc w:val="center"/>
              <w:rPr>
                <w:rFonts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 xml:space="preserve"> </w:t>
            </w:r>
            <w:r>
              <w:rPr>
                <w:rFonts w:ascii="Times New Roman" w:hAnsi="Times New Roman" w:eastAsia="宋体" w:cs="Times New Roman"/>
                <w:sz w:val="21"/>
                <w:szCs w:val="21"/>
              </w:rPr>
              <w:t>或NB/SH/T 0703—2020</w:t>
            </w:r>
          </w:p>
          <w:p>
            <w:pPr>
              <w:snapToGrid w:val="0"/>
              <w:ind w:firstLine="420" w:firstLineChars="200"/>
              <w:jc w:val="both"/>
              <w:rPr>
                <w:rFonts w:ascii="Times New Roman" w:hAnsi="Times New Roman" w:cs="Times New Roman"/>
                <w:color w:val="000000"/>
                <w:sz w:val="21"/>
                <w:szCs w:val="21"/>
                <w:highlight w:val="green"/>
              </w:rPr>
            </w:pPr>
            <w:r>
              <w:rPr>
                <w:rFonts w:ascii="Times New Roman" w:hAnsi="Times New Roman" w:eastAsia="宋体" w:cs="Times New Roman"/>
                <w:sz w:val="21"/>
                <w:szCs w:val="21"/>
              </w:rPr>
              <w:t>或SH/T 0751—2005</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171" w:hRule="atLeast"/>
        </w:trPr>
        <w:tc>
          <w:tcPr>
            <w:tcW w:w="55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 w:val="21"/>
                <w:szCs w:val="21"/>
              </w:rPr>
            </w:pPr>
            <w:r>
              <w:rPr>
                <w:rFonts w:hint="default" w:ascii="Times New Roman" w:hAnsi="Times New Roman" w:cs="Times New Roman"/>
                <w:color w:val="000000"/>
                <w:sz w:val="21"/>
                <w:szCs w:val="21"/>
              </w:rPr>
              <w:t>9</w:t>
            </w:r>
          </w:p>
        </w:tc>
        <w:tc>
          <w:tcPr>
            <w:tcW w:w="3002" w:type="dxa"/>
            <w:gridSpan w:val="2"/>
            <w:tcBorders>
              <w:top w:val="single" w:color="auto" w:sz="4" w:space="0"/>
              <w:left w:val="single" w:color="auto" w:sz="4" w:space="0"/>
              <w:bottom w:val="single" w:color="auto" w:sz="4" w:space="0"/>
              <w:right w:val="single" w:color="auto" w:sz="4" w:space="0"/>
            </w:tcBorders>
            <w:vAlign w:val="top"/>
          </w:tcPr>
          <w:p>
            <w:pPr>
              <w:spacing w:line="312" w:lineRule="auto"/>
              <w:jc w:val="center"/>
              <w:rPr>
                <w:rFonts w:hint="default" w:ascii="Times New Roman" w:hAnsi="Times New Roman" w:cs="Times New Roman"/>
                <w:sz w:val="21"/>
                <w:szCs w:val="21"/>
              </w:rPr>
            </w:pPr>
            <w:r>
              <w:rPr>
                <w:rFonts w:hint="default" w:ascii="Times New Roman" w:hAnsi="Times New Roman" w:cs="Times New Roman"/>
                <w:sz w:val="21"/>
                <w:szCs w:val="21"/>
              </w:rPr>
              <w:t>蒸发损失</w:t>
            </w:r>
          </w:p>
        </w:tc>
        <w:tc>
          <w:tcPr>
            <w:tcW w:w="2464" w:type="dxa"/>
            <w:vMerge w:val="continue"/>
            <w:tcBorders>
              <w:left w:val="single" w:color="auto" w:sz="4" w:space="0"/>
              <w:right w:val="single" w:color="auto" w:sz="4" w:space="0"/>
            </w:tcBorders>
            <w:vAlign w:val="center"/>
          </w:tcPr>
          <w:p>
            <w:pPr>
              <w:snapToGrid w:val="0"/>
              <w:jc w:val="center"/>
              <w:rPr>
                <w:rFonts w:ascii="Times New Roman" w:hAnsi="Times New Roman" w:eastAsia="宋体" w:cs="Times New Roman"/>
                <w:sz w:val="21"/>
                <w:szCs w:val="21"/>
              </w:rPr>
            </w:pPr>
          </w:p>
        </w:tc>
        <w:tc>
          <w:tcPr>
            <w:tcW w:w="286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 w:val="21"/>
                <w:szCs w:val="21"/>
                <w:highlight w:val="green"/>
              </w:rPr>
            </w:pPr>
            <w:r>
              <w:rPr>
                <w:rFonts w:ascii="Times New Roman" w:hAnsi="Times New Roman" w:eastAsia="宋体" w:cs="Times New Roman"/>
                <w:sz w:val="21"/>
                <w:szCs w:val="21"/>
              </w:rPr>
              <w:t>NB/SH/T 0059—2010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171" w:hRule="atLeast"/>
        </w:trPr>
        <w:tc>
          <w:tcPr>
            <w:tcW w:w="552"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lang w:val="en-US" w:eastAsia="zh-CN"/>
              </w:rPr>
              <w:t>10</w:t>
            </w:r>
          </w:p>
        </w:tc>
        <w:tc>
          <w:tcPr>
            <w:tcW w:w="3002" w:type="dxa"/>
            <w:gridSpan w:val="2"/>
            <w:tcBorders>
              <w:top w:val="single" w:color="auto" w:sz="4" w:space="0"/>
              <w:left w:val="single" w:color="auto" w:sz="4" w:space="0"/>
              <w:bottom w:val="single" w:color="auto" w:sz="4" w:space="0"/>
              <w:right w:val="single" w:color="auto" w:sz="4" w:space="0"/>
            </w:tcBorders>
            <w:vAlign w:val="top"/>
          </w:tcPr>
          <w:p>
            <w:pPr>
              <w:spacing w:line="312" w:lineRule="auto"/>
              <w:jc w:val="center"/>
              <w:rPr>
                <w:rFonts w:hint="default" w:ascii="Times New Roman" w:hAnsi="Times New Roman" w:cs="Times New Roman"/>
                <w:sz w:val="21"/>
                <w:szCs w:val="21"/>
              </w:rPr>
            </w:pPr>
            <w:r>
              <w:rPr>
                <w:rFonts w:hint="default" w:ascii="Times New Roman" w:hAnsi="Times New Roman" w:cs="Times New Roman"/>
                <w:color w:val="404040"/>
                <w:sz w:val="21"/>
                <w:szCs w:val="21"/>
              </w:rPr>
              <w:t>边界泵送温度</w:t>
            </w:r>
          </w:p>
        </w:tc>
        <w:tc>
          <w:tcPr>
            <w:tcW w:w="2464" w:type="dxa"/>
            <w:vMerge w:val="continue"/>
            <w:tcBorders>
              <w:left w:val="single" w:color="auto" w:sz="4" w:space="0"/>
              <w:right w:val="single" w:color="auto" w:sz="4" w:space="0"/>
            </w:tcBorders>
            <w:vAlign w:val="center"/>
          </w:tcPr>
          <w:p>
            <w:pPr>
              <w:snapToGrid w:val="0"/>
              <w:jc w:val="center"/>
              <w:rPr>
                <w:rFonts w:ascii="Times New Roman" w:hAnsi="Times New Roman" w:eastAsia="宋体" w:cs="Times New Roman"/>
                <w:sz w:val="21"/>
                <w:szCs w:val="21"/>
              </w:rPr>
            </w:pPr>
          </w:p>
        </w:tc>
        <w:tc>
          <w:tcPr>
            <w:tcW w:w="286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lang w:val="en-US" w:eastAsia="zh-CN"/>
              </w:rPr>
            </w:pPr>
            <w:r>
              <w:rPr>
                <w:rFonts w:ascii="Times New Roman" w:hAnsi="Times New Roman" w:eastAsia="宋体" w:cs="Times New Roman"/>
                <w:sz w:val="21"/>
                <w:szCs w:val="21"/>
              </w:rPr>
              <w:t>GB/T 9171—1988</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552"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lang w:val="en-US" w:eastAsia="zh-CN"/>
              </w:rPr>
              <w:t>11</w:t>
            </w:r>
          </w:p>
        </w:tc>
        <w:tc>
          <w:tcPr>
            <w:tcW w:w="3002"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黏度指数</w:t>
            </w:r>
          </w:p>
        </w:tc>
        <w:tc>
          <w:tcPr>
            <w:tcW w:w="2464" w:type="dxa"/>
            <w:vMerge w:val="continue"/>
            <w:tcBorders>
              <w:left w:val="single" w:color="auto" w:sz="4" w:space="0"/>
              <w:right w:val="single" w:color="auto" w:sz="4" w:space="0"/>
            </w:tcBorders>
            <w:vAlign w:val="center"/>
          </w:tcPr>
          <w:p>
            <w:pPr>
              <w:snapToGrid/>
              <w:ind w:firstLine="1260" w:firstLineChars="600"/>
              <w:jc w:val="left"/>
              <w:rPr>
                <w:rFonts w:ascii="Times New Roman" w:hAnsi="Times New Roman" w:cs="Times New Roman"/>
                <w:sz w:val="21"/>
                <w:szCs w:val="21"/>
              </w:rPr>
            </w:pPr>
          </w:p>
        </w:tc>
        <w:tc>
          <w:tcPr>
            <w:tcW w:w="2860" w:type="dxa"/>
            <w:gridSpan w:val="2"/>
            <w:tcBorders>
              <w:top w:val="single" w:color="auto" w:sz="4" w:space="0"/>
              <w:left w:val="single" w:color="auto" w:sz="4" w:space="0"/>
              <w:bottom w:val="single" w:color="auto" w:sz="4" w:space="0"/>
              <w:right w:val="single" w:color="auto" w:sz="4" w:space="0"/>
            </w:tcBorders>
            <w:vAlign w:val="center"/>
          </w:tcPr>
          <w:p>
            <w:pPr>
              <w:ind w:firstLine="630" w:firstLineChars="300"/>
              <w:jc w:val="left"/>
              <w:rPr>
                <w:rFonts w:ascii="Times New Roman" w:hAnsi="Times New Roman" w:eastAsia="宋体" w:cs="Times New Roman"/>
                <w:sz w:val="21"/>
                <w:szCs w:val="21"/>
              </w:rPr>
            </w:pPr>
            <w:r>
              <w:rPr>
                <w:rFonts w:ascii="Times New Roman" w:hAnsi="Times New Roman" w:eastAsia="宋体" w:cs="Times New Roman"/>
                <w:sz w:val="21"/>
                <w:szCs w:val="21"/>
              </w:rPr>
              <w:t>GB/T 1995—1998</w:t>
            </w:r>
          </w:p>
          <w:p>
            <w:pPr>
              <w:snapToGrid/>
              <w:ind w:firstLine="630" w:firstLineChars="300"/>
              <w:jc w:val="left"/>
              <w:rPr>
                <w:rFonts w:ascii="Times New Roman" w:hAnsi="Times New Roman" w:cs="Times New Roman"/>
                <w:sz w:val="21"/>
                <w:szCs w:val="21"/>
              </w:rPr>
            </w:pPr>
            <w:r>
              <w:rPr>
                <w:rFonts w:ascii="Times New Roman" w:hAnsi="Times New Roman" w:eastAsia="宋体" w:cs="Times New Roman"/>
                <w:sz w:val="21"/>
                <w:szCs w:val="21"/>
              </w:rPr>
              <w:t>或GB/T 2541—1981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171" w:hRule="atLeast"/>
        </w:trPr>
        <w:tc>
          <w:tcPr>
            <w:tcW w:w="552"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lang w:val="en-US" w:eastAsia="zh-CN"/>
              </w:rPr>
              <w:t>12</w:t>
            </w:r>
          </w:p>
        </w:tc>
        <w:tc>
          <w:tcPr>
            <w:tcW w:w="3002" w:type="dxa"/>
            <w:gridSpan w:val="2"/>
            <w:tcBorders>
              <w:top w:val="single" w:color="auto" w:sz="4" w:space="0"/>
              <w:left w:val="single" w:color="auto" w:sz="4" w:space="0"/>
              <w:bottom w:val="single" w:color="auto" w:sz="4" w:space="0"/>
              <w:right w:val="single" w:color="auto" w:sz="4" w:space="0"/>
            </w:tcBorders>
            <w:vAlign w:val="top"/>
          </w:tcPr>
          <w:p>
            <w:pPr>
              <w:spacing w:line="312"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机械杂质</w:t>
            </w:r>
          </w:p>
        </w:tc>
        <w:tc>
          <w:tcPr>
            <w:tcW w:w="2464" w:type="dxa"/>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eastAsia="宋体" w:cs="Times New Roman"/>
                <w:sz w:val="21"/>
                <w:szCs w:val="21"/>
              </w:rPr>
            </w:pPr>
          </w:p>
        </w:tc>
        <w:tc>
          <w:tcPr>
            <w:tcW w:w="286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sz w:val="21"/>
                <w:szCs w:val="21"/>
              </w:rPr>
            </w:pPr>
            <w:r>
              <w:rPr>
                <w:rFonts w:ascii="Times New Roman" w:hAnsi="Times New Roman" w:eastAsia="宋体" w:cs="Times New Roman"/>
                <w:sz w:val="21"/>
                <w:szCs w:val="21"/>
              </w:rPr>
              <w:t>GB/T 511—2010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1426" w:hRule="atLeast"/>
        </w:trPr>
        <w:tc>
          <w:tcPr>
            <w:tcW w:w="552"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lang w:val="en-US" w:eastAsia="zh-CN"/>
              </w:rPr>
              <w:t>13</w:t>
            </w:r>
          </w:p>
        </w:tc>
        <w:tc>
          <w:tcPr>
            <w:tcW w:w="3002"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ind w:firstLine="1050" w:firstLineChars="500"/>
              <w:jc w:val="both"/>
              <w:rPr>
                <w:rFonts w:hint="default" w:ascii="Times New Roman" w:hAnsi="Times New Roman" w:cs="Times New Roman"/>
                <w:sz w:val="21"/>
                <w:szCs w:val="21"/>
              </w:rPr>
            </w:pPr>
            <w:r>
              <w:rPr>
                <w:rFonts w:hint="default" w:ascii="Times New Roman" w:hAnsi="Times New Roman" w:cs="Times New Roman"/>
                <w:sz w:val="21"/>
                <w:szCs w:val="21"/>
              </w:rPr>
              <w:t>磷</w:t>
            </w:r>
          </w:p>
        </w:tc>
        <w:tc>
          <w:tcPr>
            <w:tcW w:w="2464" w:type="dxa"/>
            <w:tcBorders>
              <w:top w:val="single" w:color="auto" w:sz="4" w:space="0"/>
              <w:left w:val="single" w:color="auto" w:sz="4" w:space="0"/>
              <w:bottom w:val="single" w:color="auto" w:sz="4" w:space="0"/>
              <w:right w:val="single" w:color="auto" w:sz="4" w:space="0"/>
            </w:tcBorders>
            <w:vAlign w:val="center"/>
          </w:tcPr>
          <w:p>
            <w:pPr>
              <w:snapToGrid/>
              <w:ind w:firstLine="1260" w:firstLineChars="600"/>
              <w:jc w:val="both"/>
              <w:rPr>
                <w:rFonts w:hint="default" w:ascii="Times New Roman" w:hAnsi="Times New Roman" w:cs="Times New Roman"/>
                <w:sz w:val="21"/>
                <w:szCs w:val="21"/>
              </w:rPr>
            </w:pPr>
          </w:p>
        </w:tc>
        <w:tc>
          <w:tcPr>
            <w:tcW w:w="28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GB/T 17476—2023</w:t>
            </w:r>
          </w:p>
          <w:p>
            <w:pPr>
              <w:jc w:val="center"/>
              <w:rPr>
                <w:rFonts w:ascii="Times New Roman" w:hAnsi="Times New Roman" w:eastAsia="宋体" w:cs="Times New Roman"/>
                <w:sz w:val="21"/>
                <w:szCs w:val="21"/>
              </w:rPr>
            </w:pPr>
            <w:r>
              <w:rPr>
                <w:rFonts w:ascii="Times New Roman" w:hAnsi="Times New Roman" w:eastAsia="宋体" w:cs="Times New Roman"/>
                <w:sz w:val="21"/>
                <w:szCs w:val="21"/>
              </w:rPr>
              <w:t>或SH/T 0631—1996</w:t>
            </w:r>
          </w:p>
          <w:p>
            <w:pPr>
              <w:jc w:val="center"/>
              <w:rPr>
                <w:rFonts w:ascii="Times New Roman" w:hAnsi="Times New Roman" w:eastAsia="宋体" w:cs="Times New Roman"/>
                <w:sz w:val="21"/>
                <w:szCs w:val="21"/>
              </w:rPr>
            </w:pPr>
            <w:r>
              <w:rPr>
                <w:rFonts w:ascii="Times New Roman" w:hAnsi="Times New Roman" w:eastAsia="宋体" w:cs="Times New Roman"/>
                <w:sz w:val="21"/>
                <w:szCs w:val="21"/>
              </w:rPr>
              <w:t>或SH/T 0749—2004</w:t>
            </w:r>
          </w:p>
          <w:p>
            <w:pPr>
              <w:snapToGrid/>
              <w:ind w:firstLine="630" w:firstLineChars="300"/>
              <w:jc w:val="both"/>
              <w:rPr>
                <w:rFonts w:ascii="Times New Roman" w:hAnsi="Times New Roman" w:cs="Times New Roman"/>
                <w:sz w:val="21"/>
                <w:szCs w:val="21"/>
              </w:rPr>
            </w:pPr>
            <w:r>
              <w:rPr>
                <w:rFonts w:ascii="Times New Roman" w:hAnsi="Times New Roman" w:eastAsia="宋体" w:cs="Times New Roman"/>
                <w:sz w:val="21"/>
                <w:szCs w:val="21"/>
              </w:rPr>
              <w:t>或SH/T 0296—1992</w:t>
            </w:r>
          </w:p>
        </w:tc>
      </w:tr>
    </w:tbl>
    <w:p>
      <w:pPr>
        <w:snapToGrid w:val="0"/>
        <w:spacing w:line="440" w:lineRule="exact"/>
        <w:rPr>
          <w:rFonts w:hint="default" w:ascii="Times New Roman" w:hAnsi="Times New Roman" w:eastAsia="黑体" w:cs="Times New Roman"/>
          <w:color w:val="000000"/>
        </w:rPr>
      </w:pPr>
    </w:p>
    <w:p>
      <w:pPr>
        <w:snapToGrid w:val="0"/>
        <w:spacing w:line="440" w:lineRule="exact"/>
        <w:rPr>
          <w:rFonts w:hint="eastAsia" w:ascii="Times New Roman" w:hAnsi="Times New Roman" w:cs="Times New Roman"/>
          <w:color w:val="000000"/>
          <w:lang w:eastAsia="zh-CN"/>
        </w:rPr>
      </w:pPr>
      <w:r>
        <w:rPr>
          <w:rFonts w:ascii="Times New Roman" w:hAnsi="Times New Roman" w:cs="Times New Roman"/>
          <w:color w:val="000000"/>
        </w:rPr>
        <w:t xml:space="preserve">2.2 </w:t>
      </w:r>
      <w:r>
        <w:rPr>
          <w:rFonts w:hint="eastAsia" w:ascii="Times New Roman" w:hAnsi="Times New Roman" w:cs="Times New Roman"/>
          <w:color w:val="000000"/>
          <w:lang w:eastAsia="zh-CN"/>
        </w:rPr>
        <w:t>柴油机油</w:t>
      </w:r>
    </w:p>
    <w:tbl>
      <w:tblPr>
        <w:tblStyle w:val="5"/>
        <w:tblW w:w="8896"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
      <w:tblGrid>
        <w:gridCol w:w="551"/>
        <w:gridCol w:w="1223"/>
        <w:gridCol w:w="1781"/>
        <w:gridCol w:w="2474"/>
        <w:gridCol w:w="2860"/>
        <w:gridCol w:w="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gridAfter w:val="1"/>
          <w:wAfter w:w="7" w:type="dxa"/>
          <w:trHeight w:val="476" w:hRule="atLeast"/>
          <w:tblHeader/>
        </w:trPr>
        <w:tc>
          <w:tcPr>
            <w:tcW w:w="55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序号</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检验项目</w:t>
            </w:r>
          </w:p>
        </w:tc>
        <w:tc>
          <w:tcPr>
            <w:tcW w:w="247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Cs w:val="21"/>
              </w:rPr>
            </w:pPr>
            <w:r>
              <w:rPr>
                <w:rFonts w:hint="default" w:ascii="Times New Roman" w:hAnsi="Times New Roman" w:cs="Times New Roman"/>
                <w:color w:val="000000"/>
                <w:szCs w:val="21"/>
              </w:rPr>
              <w:t>检验依据</w:t>
            </w:r>
          </w:p>
        </w:tc>
        <w:tc>
          <w:tcPr>
            <w:tcW w:w="286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检验方法</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gridAfter w:val="1"/>
          <w:wAfter w:w="7" w:type="dxa"/>
          <w:trHeight w:val="90" w:hRule="atLeast"/>
        </w:trPr>
        <w:tc>
          <w:tcPr>
            <w:tcW w:w="55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1</w:t>
            </w:r>
          </w:p>
        </w:tc>
        <w:tc>
          <w:tcPr>
            <w:tcW w:w="3004" w:type="dxa"/>
            <w:gridSpan w:val="2"/>
            <w:tcBorders>
              <w:top w:val="single" w:color="auto" w:sz="4" w:space="0"/>
              <w:left w:val="single" w:color="auto" w:sz="4" w:space="0"/>
              <w:bottom w:val="single" w:color="auto" w:sz="4" w:space="0"/>
              <w:right w:val="single" w:color="auto" w:sz="4" w:space="0"/>
            </w:tcBorders>
            <w:vAlign w:val="top"/>
          </w:tcPr>
          <w:p>
            <w:pPr>
              <w:spacing w:line="312" w:lineRule="auto"/>
              <w:jc w:val="center"/>
              <w:rPr>
                <w:rFonts w:hint="default" w:ascii="Times New Roman" w:hAnsi="Times New Roman" w:cs="Times New Roman"/>
                <w:szCs w:val="21"/>
              </w:rPr>
            </w:pPr>
            <w:r>
              <w:rPr>
                <w:rFonts w:hint="default" w:ascii="Times New Roman" w:hAnsi="Times New Roman" w:cs="Times New Roman"/>
                <w:szCs w:val="21"/>
              </w:rPr>
              <w:t>运动黏度（100℃）</w:t>
            </w:r>
          </w:p>
        </w:tc>
        <w:tc>
          <w:tcPr>
            <w:tcW w:w="2474"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eastAsia="宋体" w:cs="Times New Roman"/>
                <w:szCs w:val="21"/>
              </w:rPr>
            </w:pPr>
            <w:r>
              <w:rPr>
                <w:rFonts w:ascii="Times New Roman" w:hAnsi="Times New Roman" w:cs="Times New Roman"/>
                <w:color w:val="000000"/>
                <w:szCs w:val="21"/>
              </w:rPr>
              <w:t>GB 1112</w:t>
            </w:r>
            <w:r>
              <w:rPr>
                <w:rFonts w:hint="default" w:ascii="Times New Roman" w:hAnsi="Times New Roman" w:cs="Times New Roman"/>
                <w:color w:val="000000"/>
                <w:szCs w:val="21"/>
                <w:lang w:val="en-US" w:eastAsia="zh-CN"/>
              </w:rPr>
              <w:t>2</w:t>
            </w:r>
            <w:r>
              <w:rPr>
                <w:rFonts w:ascii="Times New Roman" w:hAnsi="Times New Roman" w:eastAsia="宋体" w:cs="Times New Roman"/>
                <w:szCs w:val="21"/>
              </w:rPr>
              <w:t>—</w:t>
            </w:r>
            <w:r>
              <w:rPr>
                <w:rFonts w:ascii="Times New Roman" w:hAnsi="Times New Roman" w:cs="Times New Roman"/>
                <w:color w:val="000000"/>
                <w:szCs w:val="21"/>
              </w:rPr>
              <w:t>2006</w:t>
            </w:r>
          </w:p>
        </w:tc>
        <w:tc>
          <w:tcPr>
            <w:tcW w:w="286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kern w:val="2"/>
                <w:sz w:val="21"/>
                <w:szCs w:val="21"/>
                <w:highlight w:val="green"/>
                <w:lang w:val="en-US" w:eastAsia="zh-CN" w:bidi="ar-SA"/>
              </w:rPr>
            </w:pPr>
            <w:r>
              <w:rPr>
                <w:rFonts w:ascii="Times New Roman" w:hAnsi="Times New Roman" w:eastAsia="宋体" w:cs="Times New Roman"/>
                <w:szCs w:val="21"/>
              </w:rPr>
              <w:t>GB/T 265—1988</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gridAfter w:val="1"/>
          <w:wAfter w:w="7" w:type="dxa"/>
          <w:trHeight w:val="377" w:hRule="atLeast"/>
        </w:trPr>
        <w:tc>
          <w:tcPr>
            <w:tcW w:w="55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2</w:t>
            </w:r>
          </w:p>
        </w:tc>
        <w:tc>
          <w:tcPr>
            <w:tcW w:w="3004" w:type="dxa"/>
            <w:gridSpan w:val="2"/>
            <w:tcBorders>
              <w:top w:val="single" w:color="auto" w:sz="4" w:space="0"/>
              <w:left w:val="single" w:color="auto" w:sz="4" w:space="0"/>
              <w:bottom w:val="single" w:color="auto" w:sz="4" w:space="0"/>
              <w:right w:val="single" w:color="auto" w:sz="4" w:space="0"/>
            </w:tcBorders>
            <w:vAlign w:val="top"/>
          </w:tcPr>
          <w:p>
            <w:pPr>
              <w:spacing w:line="312" w:lineRule="auto"/>
              <w:jc w:val="center"/>
              <w:rPr>
                <w:rFonts w:hint="default" w:ascii="Times New Roman" w:hAnsi="Times New Roman" w:cs="Times New Roman"/>
                <w:szCs w:val="21"/>
              </w:rPr>
            </w:pPr>
            <w:r>
              <w:rPr>
                <w:rFonts w:hint="default" w:ascii="Times New Roman" w:hAnsi="Times New Roman" w:cs="Times New Roman"/>
                <w:szCs w:val="21"/>
              </w:rPr>
              <w:t>低温动力黏度</w:t>
            </w:r>
          </w:p>
        </w:tc>
        <w:tc>
          <w:tcPr>
            <w:tcW w:w="2474" w:type="dxa"/>
            <w:vMerge w:val="continue"/>
            <w:tcBorders>
              <w:left w:val="single" w:color="auto" w:sz="4" w:space="0"/>
              <w:right w:val="single" w:color="auto" w:sz="4" w:space="0"/>
            </w:tcBorders>
            <w:vAlign w:val="center"/>
          </w:tcPr>
          <w:p>
            <w:pPr>
              <w:snapToGrid w:val="0"/>
              <w:jc w:val="center"/>
              <w:rPr>
                <w:rFonts w:ascii="Times New Roman" w:hAnsi="Times New Roman" w:eastAsia="宋体" w:cs="Times New Roman"/>
                <w:szCs w:val="21"/>
              </w:rPr>
            </w:pPr>
          </w:p>
        </w:tc>
        <w:tc>
          <w:tcPr>
            <w:tcW w:w="286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kern w:val="2"/>
                <w:sz w:val="21"/>
                <w:szCs w:val="21"/>
                <w:highlight w:val="green"/>
                <w:lang w:val="en-US" w:eastAsia="zh-CN" w:bidi="ar-SA"/>
              </w:rPr>
            </w:pPr>
            <w:r>
              <w:rPr>
                <w:rFonts w:ascii="Times New Roman" w:hAnsi="Times New Roman" w:eastAsia="宋体" w:cs="Times New Roman"/>
                <w:szCs w:val="21"/>
              </w:rPr>
              <w:t>GB/T 6538—2022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gridAfter w:val="1"/>
          <w:wAfter w:w="7" w:type="dxa"/>
          <w:trHeight w:val="142" w:hRule="atLeast"/>
        </w:trPr>
        <w:tc>
          <w:tcPr>
            <w:tcW w:w="55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3</w:t>
            </w:r>
          </w:p>
        </w:tc>
        <w:tc>
          <w:tcPr>
            <w:tcW w:w="3004" w:type="dxa"/>
            <w:gridSpan w:val="2"/>
            <w:tcBorders>
              <w:top w:val="single" w:color="auto" w:sz="4" w:space="0"/>
              <w:left w:val="single" w:color="auto" w:sz="4" w:space="0"/>
              <w:bottom w:val="single" w:color="auto" w:sz="4" w:space="0"/>
              <w:right w:val="single" w:color="auto" w:sz="4" w:space="0"/>
            </w:tcBorders>
            <w:vAlign w:val="top"/>
          </w:tcPr>
          <w:p>
            <w:pPr>
              <w:spacing w:line="312" w:lineRule="auto"/>
              <w:jc w:val="center"/>
              <w:rPr>
                <w:rFonts w:hint="default" w:ascii="Times New Roman" w:hAnsi="Times New Roman" w:cs="Times New Roman"/>
                <w:szCs w:val="21"/>
              </w:rPr>
            </w:pPr>
            <w:r>
              <w:rPr>
                <w:rFonts w:hint="default" w:ascii="Times New Roman" w:hAnsi="Times New Roman" w:cs="Times New Roman"/>
                <w:szCs w:val="21"/>
              </w:rPr>
              <w:t>低温泵送黏度</w:t>
            </w:r>
          </w:p>
        </w:tc>
        <w:tc>
          <w:tcPr>
            <w:tcW w:w="2474" w:type="dxa"/>
            <w:vMerge w:val="continue"/>
            <w:tcBorders>
              <w:left w:val="single" w:color="auto" w:sz="4" w:space="0"/>
              <w:right w:val="single" w:color="auto" w:sz="4" w:space="0"/>
            </w:tcBorders>
            <w:vAlign w:val="center"/>
          </w:tcPr>
          <w:p>
            <w:pPr>
              <w:snapToGrid/>
              <w:ind w:firstLine="1050" w:firstLineChars="500"/>
              <w:jc w:val="left"/>
              <w:rPr>
                <w:rFonts w:ascii="Times New Roman" w:hAnsi="Times New Roman" w:cs="Times New Roman"/>
                <w:color w:val="000000"/>
                <w:kern w:val="2"/>
                <w:sz w:val="21"/>
                <w:szCs w:val="21"/>
                <w:highlight w:val="green"/>
                <w:lang w:val="en-US" w:eastAsia="zh-CN" w:bidi="ar-SA"/>
              </w:rPr>
            </w:pPr>
          </w:p>
        </w:tc>
        <w:tc>
          <w:tcPr>
            <w:tcW w:w="2860" w:type="dxa"/>
            <w:tcBorders>
              <w:top w:val="single" w:color="auto" w:sz="4" w:space="0"/>
              <w:left w:val="single" w:color="auto" w:sz="4" w:space="0"/>
              <w:bottom w:val="single" w:color="auto" w:sz="4" w:space="0"/>
              <w:right w:val="single" w:color="auto" w:sz="4" w:space="0"/>
            </w:tcBorders>
            <w:vAlign w:val="center"/>
          </w:tcPr>
          <w:p>
            <w:pPr>
              <w:snapToGrid/>
              <w:ind w:firstLine="420" w:firstLineChars="200"/>
              <w:jc w:val="left"/>
              <w:rPr>
                <w:rFonts w:ascii="Times New Roman" w:hAnsi="Times New Roman" w:cs="Times New Roman"/>
                <w:color w:val="000000"/>
                <w:kern w:val="2"/>
                <w:sz w:val="21"/>
                <w:szCs w:val="21"/>
                <w:highlight w:val="green"/>
                <w:lang w:val="en-US" w:eastAsia="zh-CN" w:bidi="ar-SA"/>
              </w:rPr>
            </w:pPr>
            <w:r>
              <w:rPr>
                <w:rFonts w:ascii="Times New Roman" w:hAnsi="Times New Roman" w:eastAsia="宋体" w:cs="Times New Roman"/>
                <w:szCs w:val="21"/>
              </w:rPr>
              <w:t>NB/SH/T 0562—2013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gridAfter w:val="1"/>
          <w:wAfter w:w="7" w:type="dxa"/>
          <w:trHeight w:val="171" w:hRule="atLeast"/>
        </w:trPr>
        <w:tc>
          <w:tcPr>
            <w:tcW w:w="551"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3004" w:type="dxa"/>
            <w:gridSpan w:val="2"/>
            <w:tcBorders>
              <w:top w:val="single" w:color="auto" w:sz="4" w:space="0"/>
              <w:left w:val="single" w:color="auto" w:sz="4" w:space="0"/>
              <w:bottom w:val="single" w:color="auto" w:sz="4" w:space="0"/>
              <w:right w:val="single" w:color="auto" w:sz="4" w:space="0"/>
            </w:tcBorders>
            <w:vAlign w:val="top"/>
          </w:tcPr>
          <w:p>
            <w:pPr>
              <w:spacing w:line="312" w:lineRule="auto"/>
              <w:jc w:val="center"/>
              <w:rPr>
                <w:rFonts w:hint="default" w:ascii="Times New Roman" w:hAnsi="Times New Roman" w:cs="Times New Roman"/>
                <w:szCs w:val="21"/>
              </w:rPr>
            </w:pPr>
            <w:r>
              <w:rPr>
                <w:rFonts w:hint="default" w:ascii="Times New Roman" w:hAnsi="Times New Roman" w:cs="Times New Roman"/>
                <w:szCs w:val="21"/>
              </w:rPr>
              <w:t>闪点（开口）</w:t>
            </w:r>
          </w:p>
        </w:tc>
        <w:tc>
          <w:tcPr>
            <w:tcW w:w="2474" w:type="dxa"/>
            <w:vMerge w:val="continue"/>
            <w:tcBorders>
              <w:left w:val="single" w:color="auto" w:sz="4" w:space="0"/>
              <w:right w:val="single" w:color="auto" w:sz="4" w:space="0"/>
            </w:tcBorders>
            <w:vAlign w:val="center"/>
          </w:tcPr>
          <w:p>
            <w:pPr>
              <w:snapToGrid w:val="0"/>
              <w:jc w:val="center"/>
              <w:rPr>
                <w:rFonts w:ascii="Times New Roman" w:hAnsi="Times New Roman" w:eastAsia="宋体" w:cs="Times New Roman"/>
                <w:szCs w:val="21"/>
              </w:rPr>
            </w:pPr>
          </w:p>
        </w:tc>
        <w:tc>
          <w:tcPr>
            <w:tcW w:w="286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kern w:val="2"/>
                <w:sz w:val="21"/>
                <w:szCs w:val="21"/>
                <w:highlight w:val="green"/>
                <w:lang w:val="en-US" w:eastAsia="zh-CN" w:bidi="ar-SA"/>
              </w:rPr>
            </w:pPr>
            <w:r>
              <w:rPr>
                <w:rFonts w:ascii="Times New Roman" w:hAnsi="Times New Roman" w:eastAsia="宋体" w:cs="Times New Roman"/>
                <w:szCs w:val="21"/>
              </w:rPr>
              <w:t>GB/T 3536—2008</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gridAfter w:val="1"/>
          <w:wAfter w:w="7" w:type="dxa"/>
          <w:trHeight w:val="171" w:hRule="atLeast"/>
        </w:trPr>
        <w:tc>
          <w:tcPr>
            <w:tcW w:w="55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Cs w:val="21"/>
              </w:rPr>
            </w:pPr>
            <w:r>
              <w:rPr>
                <w:rFonts w:hint="default" w:ascii="Times New Roman" w:hAnsi="Times New Roman" w:cs="Times New Roman"/>
                <w:color w:val="000000"/>
                <w:szCs w:val="21"/>
              </w:rPr>
              <w:t>5</w:t>
            </w:r>
          </w:p>
        </w:tc>
        <w:tc>
          <w:tcPr>
            <w:tcW w:w="3004" w:type="dxa"/>
            <w:gridSpan w:val="2"/>
            <w:tcBorders>
              <w:top w:val="single" w:color="auto" w:sz="4" w:space="0"/>
              <w:left w:val="single" w:color="auto" w:sz="4" w:space="0"/>
              <w:bottom w:val="single" w:color="auto" w:sz="4" w:space="0"/>
              <w:right w:val="single" w:color="auto" w:sz="4" w:space="0"/>
            </w:tcBorders>
            <w:vAlign w:val="top"/>
          </w:tcPr>
          <w:p>
            <w:pPr>
              <w:spacing w:line="312" w:lineRule="auto"/>
              <w:jc w:val="center"/>
              <w:rPr>
                <w:rFonts w:hint="default" w:ascii="Times New Roman" w:hAnsi="Times New Roman" w:cs="Times New Roman"/>
                <w:szCs w:val="21"/>
              </w:rPr>
            </w:pPr>
            <w:r>
              <w:rPr>
                <w:rFonts w:hint="default" w:ascii="Times New Roman" w:hAnsi="Times New Roman" w:cs="Times New Roman"/>
                <w:szCs w:val="21"/>
              </w:rPr>
              <w:t>倾点</w:t>
            </w:r>
          </w:p>
        </w:tc>
        <w:tc>
          <w:tcPr>
            <w:tcW w:w="2474" w:type="dxa"/>
            <w:vMerge w:val="continue"/>
            <w:tcBorders>
              <w:left w:val="single" w:color="auto" w:sz="4" w:space="0"/>
              <w:right w:val="single" w:color="auto" w:sz="4" w:space="0"/>
            </w:tcBorders>
            <w:vAlign w:val="center"/>
          </w:tcPr>
          <w:p>
            <w:pPr>
              <w:snapToGrid w:val="0"/>
              <w:jc w:val="center"/>
              <w:rPr>
                <w:rFonts w:ascii="Times New Roman" w:hAnsi="Times New Roman" w:eastAsia="宋体" w:cs="Times New Roman"/>
                <w:szCs w:val="21"/>
              </w:rPr>
            </w:pPr>
          </w:p>
        </w:tc>
        <w:tc>
          <w:tcPr>
            <w:tcW w:w="286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kern w:val="2"/>
                <w:sz w:val="21"/>
                <w:szCs w:val="21"/>
                <w:highlight w:val="green"/>
                <w:lang w:val="en-US" w:eastAsia="zh-CN" w:bidi="ar-SA"/>
              </w:rPr>
            </w:pPr>
            <w:r>
              <w:rPr>
                <w:rFonts w:ascii="Times New Roman" w:hAnsi="Times New Roman" w:eastAsia="宋体" w:cs="Times New Roman"/>
                <w:szCs w:val="21"/>
              </w:rPr>
              <w:t>GB/T 3535—2006</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430" w:hRule="atLeast"/>
        </w:trPr>
        <w:tc>
          <w:tcPr>
            <w:tcW w:w="551"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cs="Times New Roman"/>
                <w:color w:val="000000"/>
                <w:szCs w:val="21"/>
              </w:rPr>
            </w:pPr>
            <w:r>
              <w:rPr>
                <w:rFonts w:hint="default" w:ascii="Times New Roman" w:hAnsi="Times New Roman" w:cs="Times New Roman"/>
                <w:color w:val="000000"/>
                <w:szCs w:val="21"/>
              </w:rPr>
              <w:t>6</w:t>
            </w:r>
          </w:p>
        </w:tc>
        <w:tc>
          <w:tcPr>
            <w:tcW w:w="1223" w:type="dxa"/>
            <w:vMerge w:val="restart"/>
            <w:tcBorders>
              <w:top w:val="single" w:color="auto" w:sz="4" w:space="0"/>
              <w:left w:val="single" w:color="auto" w:sz="4" w:space="0"/>
              <w:right w:val="single" w:color="auto" w:sz="4" w:space="0"/>
            </w:tcBorders>
            <w:vAlign w:val="center"/>
          </w:tcPr>
          <w:p>
            <w:pPr>
              <w:spacing w:line="312" w:lineRule="auto"/>
              <w:jc w:val="center"/>
              <w:rPr>
                <w:rFonts w:hint="default" w:ascii="Times New Roman" w:hAnsi="Times New Roman" w:cs="Times New Roman"/>
                <w:szCs w:val="21"/>
              </w:rPr>
            </w:pPr>
            <w:r>
              <w:rPr>
                <w:rFonts w:hint="default" w:ascii="Times New Roman" w:hAnsi="Times New Roman" w:cs="Times New Roman"/>
                <w:szCs w:val="21"/>
              </w:rPr>
              <w:t>泡沫性</w:t>
            </w:r>
          </w:p>
          <w:p>
            <w:pPr>
              <w:spacing w:line="312" w:lineRule="auto"/>
              <w:jc w:val="center"/>
              <w:rPr>
                <w:rFonts w:hint="default" w:ascii="Times New Roman" w:hAnsi="Times New Roman" w:cs="Times New Roman"/>
                <w:szCs w:val="21"/>
              </w:rPr>
            </w:pPr>
            <w:r>
              <w:rPr>
                <w:rFonts w:ascii="Times New Roman" w:hAnsi="Times New Roman" w:cs="Times New Roman"/>
              </w:rPr>
              <w:t>（泡沫倾向/泡沫稳定性）</w:t>
            </w:r>
          </w:p>
        </w:tc>
        <w:tc>
          <w:tcPr>
            <w:tcW w:w="1781" w:type="dxa"/>
            <w:tcBorders>
              <w:top w:val="single" w:color="auto" w:sz="4" w:space="0"/>
              <w:left w:val="single" w:color="auto" w:sz="4" w:space="0"/>
              <w:bottom w:val="single" w:color="auto" w:sz="4" w:space="0"/>
              <w:right w:val="single" w:color="auto" w:sz="4" w:space="0"/>
            </w:tcBorders>
            <w:vAlign w:val="center"/>
          </w:tcPr>
          <w:p>
            <w:pPr>
              <w:tabs>
                <w:tab w:val="left" w:pos="2691"/>
              </w:tabs>
              <w:jc w:val="center"/>
              <w:rPr>
                <w:rFonts w:hint="default" w:ascii="Times New Roman" w:hAnsi="Times New Roman" w:cs="Times New Roman"/>
                <w:highlight w:val="green"/>
              </w:rPr>
            </w:pPr>
            <w:r>
              <w:rPr>
                <w:rFonts w:ascii="Times New Roman" w:hAnsi="Times New Roman" w:cs="Times New Roman"/>
              </w:rPr>
              <w:t>24℃</w:t>
            </w:r>
          </w:p>
        </w:tc>
        <w:tc>
          <w:tcPr>
            <w:tcW w:w="2474" w:type="dxa"/>
            <w:vMerge w:val="continue"/>
            <w:tcBorders>
              <w:left w:val="single" w:color="auto" w:sz="4" w:space="0"/>
              <w:right w:val="single" w:color="auto" w:sz="4" w:space="0"/>
            </w:tcBorders>
            <w:vAlign w:val="center"/>
          </w:tcPr>
          <w:p>
            <w:pPr>
              <w:snapToGrid w:val="0"/>
              <w:jc w:val="center"/>
              <w:rPr>
                <w:rFonts w:ascii="Times New Roman" w:hAnsi="Times New Roman" w:cs="Times New Roman"/>
              </w:rPr>
            </w:pPr>
          </w:p>
        </w:tc>
        <w:tc>
          <w:tcPr>
            <w:tcW w:w="2867" w:type="dxa"/>
            <w:gridSpan w:val="2"/>
            <w:vMerge w:val="restart"/>
            <w:tcBorders>
              <w:top w:val="single" w:color="auto" w:sz="4" w:space="0"/>
              <w:left w:val="single" w:color="auto" w:sz="4" w:space="0"/>
              <w:right w:val="single" w:color="auto" w:sz="4" w:space="0"/>
            </w:tcBorders>
            <w:vAlign w:val="center"/>
          </w:tcPr>
          <w:p>
            <w:pPr>
              <w:snapToGrid/>
              <w:jc w:val="center"/>
              <w:rPr>
                <w:rFonts w:ascii="Times New Roman" w:hAnsi="Times New Roman" w:cs="Times New Roman"/>
              </w:rPr>
            </w:pPr>
            <w:r>
              <w:rPr>
                <w:rFonts w:ascii="Times New Roman" w:hAnsi="Times New Roman" w:eastAsia="宋体" w:cs="Times New Roman"/>
                <w:szCs w:val="21"/>
              </w:rPr>
              <w:t>GB/T 12579—2002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415" w:hRule="atLeast"/>
        </w:trPr>
        <w:tc>
          <w:tcPr>
            <w:tcW w:w="551" w:type="dxa"/>
            <w:vMerge w:val="continue"/>
            <w:tcBorders>
              <w:left w:val="single" w:color="auto" w:sz="4" w:space="0"/>
              <w:right w:val="single" w:color="auto" w:sz="4" w:space="0"/>
            </w:tcBorders>
            <w:vAlign w:val="center"/>
          </w:tcPr>
          <w:p>
            <w:pPr>
              <w:spacing w:line="312" w:lineRule="auto"/>
              <w:jc w:val="center"/>
              <w:rPr>
                <w:rFonts w:ascii="Times New Roman" w:hAnsi="Times New Roman" w:cs="Times New Roman"/>
              </w:rPr>
            </w:pPr>
          </w:p>
        </w:tc>
        <w:tc>
          <w:tcPr>
            <w:tcW w:w="1223" w:type="dxa"/>
            <w:vMerge w:val="continue"/>
            <w:tcBorders>
              <w:left w:val="single" w:color="auto" w:sz="4" w:space="0"/>
              <w:right w:val="single" w:color="auto" w:sz="4" w:space="0"/>
            </w:tcBorders>
            <w:vAlign w:val="center"/>
          </w:tcPr>
          <w:p>
            <w:pPr>
              <w:spacing w:line="312" w:lineRule="auto"/>
              <w:jc w:val="center"/>
              <w:rPr>
                <w:rFonts w:ascii="Times New Roman" w:hAnsi="Times New Roman" w:cs="Times New Roman"/>
              </w:rPr>
            </w:pPr>
          </w:p>
        </w:tc>
        <w:tc>
          <w:tcPr>
            <w:tcW w:w="1781" w:type="dxa"/>
            <w:tcBorders>
              <w:top w:val="single" w:color="auto" w:sz="4" w:space="0"/>
              <w:left w:val="single" w:color="auto" w:sz="4" w:space="0"/>
              <w:bottom w:val="single" w:color="auto" w:sz="4" w:space="0"/>
              <w:right w:val="single" w:color="auto" w:sz="4" w:space="0"/>
            </w:tcBorders>
            <w:vAlign w:val="center"/>
          </w:tcPr>
          <w:p>
            <w:pPr>
              <w:tabs>
                <w:tab w:val="left" w:pos="2691"/>
              </w:tabs>
              <w:jc w:val="center"/>
              <w:rPr>
                <w:rFonts w:hint="default" w:ascii="Times New Roman" w:hAnsi="Times New Roman" w:cs="Times New Roman"/>
                <w:highlight w:val="green"/>
              </w:rPr>
            </w:pPr>
            <w:r>
              <w:rPr>
                <w:rFonts w:ascii="Times New Roman" w:hAnsi="Times New Roman" w:cs="Times New Roman"/>
              </w:rPr>
              <w:t>93.5℃</w:t>
            </w:r>
          </w:p>
        </w:tc>
        <w:tc>
          <w:tcPr>
            <w:tcW w:w="2474" w:type="dxa"/>
            <w:vMerge w:val="continue"/>
            <w:tcBorders>
              <w:left w:val="single" w:color="auto" w:sz="4" w:space="0"/>
              <w:right w:val="single" w:color="auto" w:sz="4" w:space="0"/>
            </w:tcBorders>
            <w:vAlign w:val="center"/>
          </w:tcPr>
          <w:p>
            <w:pPr>
              <w:spacing w:line="312" w:lineRule="auto"/>
              <w:jc w:val="center"/>
              <w:rPr>
                <w:rFonts w:hint="default" w:ascii="Times New Roman" w:hAnsi="Times New Roman" w:cs="Times New Roman"/>
                <w:szCs w:val="21"/>
              </w:rPr>
            </w:pPr>
          </w:p>
        </w:tc>
        <w:tc>
          <w:tcPr>
            <w:tcW w:w="2867" w:type="dxa"/>
            <w:gridSpan w:val="2"/>
            <w:vMerge w:val="continue"/>
            <w:tcBorders>
              <w:left w:val="single" w:color="auto" w:sz="4" w:space="0"/>
              <w:right w:val="single" w:color="auto" w:sz="4" w:space="0"/>
            </w:tcBorders>
            <w:vAlign w:val="center"/>
          </w:tcPr>
          <w:p>
            <w:pPr>
              <w:spacing w:line="312" w:lineRule="auto"/>
              <w:jc w:val="center"/>
              <w:rPr>
                <w:rFonts w:hint="default" w:ascii="Times New Roman" w:hAnsi="Times New Roman" w:cs="Times New Roman"/>
                <w:szCs w:val="21"/>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428" w:hRule="atLeast"/>
        </w:trPr>
        <w:tc>
          <w:tcPr>
            <w:tcW w:w="551" w:type="dxa"/>
            <w:vMerge w:val="continue"/>
            <w:tcBorders>
              <w:left w:val="single" w:color="auto" w:sz="4" w:space="0"/>
              <w:right w:val="single" w:color="auto" w:sz="4" w:space="0"/>
            </w:tcBorders>
            <w:vAlign w:val="center"/>
          </w:tcPr>
          <w:p>
            <w:pPr>
              <w:spacing w:line="312" w:lineRule="auto"/>
              <w:jc w:val="center"/>
              <w:rPr>
                <w:rFonts w:hint="default" w:ascii="Times New Roman" w:hAnsi="Times New Roman" w:cs="Times New Roman"/>
                <w:szCs w:val="21"/>
              </w:rPr>
            </w:pPr>
          </w:p>
        </w:tc>
        <w:tc>
          <w:tcPr>
            <w:tcW w:w="1223" w:type="dxa"/>
            <w:vMerge w:val="continue"/>
            <w:tcBorders>
              <w:left w:val="single" w:color="auto" w:sz="4" w:space="0"/>
              <w:right w:val="single" w:color="auto" w:sz="4" w:space="0"/>
            </w:tcBorders>
            <w:vAlign w:val="center"/>
          </w:tcPr>
          <w:p>
            <w:pPr>
              <w:spacing w:line="312" w:lineRule="auto"/>
              <w:jc w:val="center"/>
              <w:rPr>
                <w:rFonts w:hint="default" w:ascii="Times New Roman" w:hAnsi="Times New Roman" w:cs="Times New Roman"/>
                <w:szCs w:val="21"/>
              </w:rPr>
            </w:pPr>
          </w:p>
        </w:tc>
        <w:tc>
          <w:tcPr>
            <w:tcW w:w="1781" w:type="dxa"/>
            <w:tcBorders>
              <w:top w:val="single" w:color="auto" w:sz="4" w:space="0"/>
              <w:left w:val="single" w:color="auto" w:sz="4" w:space="0"/>
              <w:bottom w:val="single" w:color="auto" w:sz="4" w:space="0"/>
              <w:right w:val="single" w:color="auto" w:sz="4" w:space="0"/>
            </w:tcBorders>
            <w:vAlign w:val="center"/>
          </w:tcPr>
          <w:p>
            <w:pPr>
              <w:tabs>
                <w:tab w:val="left" w:pos="2691"/>
              </w:tabs>
              <w:jc w:val="center"/>
              <w:rPr>
                <w:rFonts w:hint="default" w:ascii="Times New Roman" w:hAnsi="Times New Roman" w:cs="Times New Roman"/>
                <w:highlight w:val="green"/>
              </w:rPr>
            </w:pPr>
            <w:r>
              <w:rPr>
                <w:rFonts w:ascii="Times New Roman" w:hAnsi="Times New Roman" w:cs="Times New Roman"/>
              </w:rPr>
              <w:t>后24℃</w:t>
            </w:r>
          </w:p>
        </w:tc>
        <w:tc>
          <w:tcPr>
            <w:tcW w:w="2474" w:type="dxa"/>
            <w:vMerge w:val="continue"/>
            <w:tcBorders>
              <w:left w:val="single" w:color="auto" w:sz="4" w:space="0"/>
              <w:right w:val="single" w:color="auto" w:sz="4" w:space="0"/>
            </w:tcBorders>
            <w:vAlign w:val="center"/>
          </w:tcPr>
          <w:p>
            <w:pPr>
              <w:spacing w:line="312" w:lineRule="auto"/>
              <w:jc w:val="center"/>
              <w:rPr>
                <w:rFonts w:hint="default" w:ascii="Times New Roman" w:hAnsi="Times New Roman" w:cs="Times New Roman"/>
                <w:szCs w:val="21"/>
              </w:rPr>
            </w:pPr>
          </w:p>
        </w:tc>
        <w:tc>
          <w:tcPr>
            <w:tcW w:w="2867" w:type="dxa"/>
            <w:gridSpan w:val="2"/>
            <w:vMerge w:val="continue"/>
            <w:tcBorders>
              <w:left w:val="single" w:color="auto" w:sz="4" w:space="0"/>
              <w:bottom w:val="single" w:color="auto" w:sz="4" w:space="0"/>
              <w:right w:val="single" w:color="auto" w:sz="4" w:space="0"/>
            </w:tcBorders>
            <w:vAlign w:val="center"/>
          </w:tcPr>
          <w:p>
            <w:pPr>
              <w:spacing w:line="312" w:lineRule="auto"/>
              <w:jc w:val="center"/>
              <w:rPr>
                <w:rFonts w:hint="default" w:ascii="Times New Roman" w:hAnsi="Times New Roman" w:cs="Times New Roman"/>
                <w:szCs w:val="21"/>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171" w:hRule="atLeast"/>
        </w:trPr>
        <w:tc>
          <w:tcPr>
            <w:tcW w:w="55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Cs w:val="21"/>
              </w:rPr>
            </w:pPr>
            <w:r>
              <w:rPr>
                <w:rFonts w:hint="default" w:ascii="Times New Roman" w:hAnsi="Times New Roman" w:cs="Times New Roman"/>
                <w:color w:val="000000"/>
                <w:szCs w:val="21"/>
              </w:rPr>
              <w:t>7</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hint="default" w:ascii="Times New Roman" w:hAnsi="Times New Roman" w:cs="Times New Roman"/>
                <w:szCs w:val="21"/>
              </w:rPr>
            </w:pPr>
            <w:r>
              <w:rPr>
                <w:rFonts w:hint="default" w:ascii="Times New Roman" w:hAnsi="Times New Roman" w:cs="Times New Roman"/>
                <w:szCs w:val="21"/>
              </w:rPr>
              <w:t>水分</w:t>
            </w:r>
          </w:p>
        </w:tc>
        <w:tc>
          <w:tcPr>
            <w:tcW w:w="2474" w:type="dxa"/>
            <w:vMerge w:val="continue"/>
            <w:tcBorders>
              <w:left w:val="single" w:color="auto" w:sz="4" w:space="0"/>
              <w:right w:val="single" w:color="auto" w:sz="4" w:space="0"/>
            </w:tcBorders>
            <w:vAlign w:val="center"/>
          </w:tcPr>
          <w:p>
            <w:pPr>
              <w:snapToGrid w:val="0"/>
              <w:jc w:val="center"/>
              <w:rPr>
                <w:rFonts w:ascii="Times New Roman" w:hAnsi="Times New Roman" w:eastAsia="宋体" w:cs="Times New Roman"/>
                <w:szCs w:val="21"/>
              </w:rPr>
            </w:pPr>
          </w:p>
        </w:tc>
        <w:tc>
          <w:tcPr>
            <w:tcW w:w="2867"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Cs w:val="21"/>
                <w:highlight w:val="green"/>
              </w:rPr>
            </w:pPr>
            <w:r>
              <w:rPr>
                <w:rFonts w:ascii="Times New Roman" w:hAnsi="Times New Roman" w:eastAsia="宋体" w:cs="Times New Roman"/>
                <w:szCs w:val="21"/>
              </w:rPr>
              <w:t>GB/T 260—2016</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171" w:hRule="atLeast"/>
        </w:trPr>
        <w:tc>
          <w:tcPr>
            <w:tcW w:w="55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Cs w:val="21"/>
              </w:rPr>
            </w:pPr>
            <w:r>
              <w:rPr>
                <w:rFonts w:hint="default" w:ascii="Times New Roman" w:hAnsi="Times New Roman" w:cs="Times New Roman"/>
                <w:color w:val="000000"/>
                <w:szCs w:val="21"/>
              </w:rPr>
              <w:t>8</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hint="default" w:ascii="Times New Roman" w:hAnsi="Times New Roman" w:cs="Times New Roman"/>
                <w:szCs w:val="21"/>
              </w:rPr>
            </w:pPr>
            <w:r>
              <w:rPr>
                <w:rFonts w:hint="default" w:ascii="Times New Roman" w:hAnsi="Times New Roman" w:cs="Times New Roman"/>
                <w:szCs w:val="21"/>
              </w:rPr>
              <w:t>高温高剪切黏度</w:t>
            </w:r>
          </w:p>
        </w:tc>
        <w:tc>
          <w:tcPr>
            <w:tcW w:w="2474" w:type="dxa"/>
            <w:vMerge w:val="continue"/>
            <w:tcBorders>
              <w:left w:val="single" w:color="auto" w:sz="4" w:space="0"/>
              <w:right w:val="single" w:color="auto" w:sz="4" w:space="0"/>
            </w:tcBorders>
            <w:vAlign w:val="center"/>
          </w:tcPr>
          <w:p>
            <w:pPr>
              <w:snapToGrid w:val="0"/>
              <w:ind w:firstLine="1260" w:firstLineChars="600"/>
              <w:jc w:val="both"/>
              <w:rPr>
                <w:rFonts w:ascii="Times New Roman" w:hAnsi="Times New Roman" w:eastAsia="宋体" w:cs="Times New Roman"/>
                <w:szCs w:val="21"/>
              </w:rPr>
            </w:pPr>
          </w:p>
        </w:tc>
        <w:tc>
          <w:tcPr>
            <w:tcW w:w="286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SH/T 0618—1995</w:t>
            </w:r>
          </w:p>
          <w:p>
            <w:pPr>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rPr>
              <w:t>或NB/SH/T 0703—2020</w:t>
            </w:r>
          </w:p>
          <w:p>
            <w:pPr>
              <w:snapToGrid w:val="0"/>
              <w:ind w:firstLine="420" w:firstLineChars="200"/>
              <w:jc w:val="both"/>
              <w:rPr>
                <w:rFonts w:ascii="Times New Roman" w:hAnsi="Times New Roman" w:cs="Times New Roman"/>
                <w:color w:val="000000"/>
                <w:szCs w:val="21"/>
                <w:highlight w:val="green"/>
              </w:rPr>
            </w:pPr>
            <w:r>
              <w:rPr>
                <w:rFonts w:ascii="Times New Roman" w:hAnsi="Times New Roman" w:eastAsia="宋体" w:cs="Times New Roman"/>
                <w:szCs w:val="21"/>
              </w:rPr>
              <w:t>或SH/T 0751—2005</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171" w:hRule="atLeast"/>
        </w:trPr>
        <w:tc>
          <w:tcPr>
            <w:tcW w:w="55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Cs w:val="21"/>
              </w:rPr>
            </w:pPr>
            <w:r>
              <w:rPr>
                <w:rFonts w:hint="default" w:ascii="Times New Roman" w:hAnsi="Times New Roman" w:cs="Times New Roman"/>
                <w:color w:val="000000"/>
                <w:szCs w:val="21"/>
              </w:rPr>
              <w:t>9</w:t>
            </w:r>
          </w:p>
        </w:tc>
        <w:tc>
          <w:tcPr>
            <w:tcW w:w="3004" w:type="dxa"/>
            <w:gridSpan w:val="2"/>
            <w:tcBorders>
              <w:top w:val="single" w:color="auto" w:sz="4" w:space="0"/>
              <w:left w:val="single" w:color="auto" w:sz="4" w:space="0"/>
              <w:bottom w:val="single" w:color="auto" w:sz="4" w:space="0"/>
              <w:right w:val="single" w:color="auto" w:sz="4" w:space="0"/>
            </w:tcBorders>
            <w:vAlign w:val="top"/>
          </w:tcPr>
          <w:p>
            <w:pPr>
              <w:spacing w:line="312" w:lineRule="auto"/>
              <w:jc w:val="center"/>
              <w:rPr>
                <w:rFonts w:hint="default" w:ascii="Times New Roman" w:hAnsi="Times New Roman" w:cs="Times New Roman"/>
                <w:szCs w:val="21"/>
              </w:rPr>
            </w:pPr>
            <w:r>
              <w:rPr>
                <w:rFonts w:hint="default" w:ascii="Times New Roman" w:hAnsi="Times New Roman" w:cs="Times New Roman"/>
                <w:szCs w:val="21"/>
              </w:rPr>
              <w:t>蒸发损失</w:t>
            </w:r>
          </w:p>
        </w:tc>
        <w:tc>
          <w:tcPr>
            <w:tcW w:w="2474" w:type="dxa"/>
            <w:vMerge w:val="continue"/>
            <w:tcBorders>
              <w:left w:val="single" w:color="auto" w:sz="4" w:space="0"/>
              <w:right w:val="single" w:color="auto" w:sz="4" w:space="0"/>
            </w:tcBorders>
            <w:vAlign w:val="center"/>
          </w:tcPr>
          <w:p>
            <w:pPr>
              <w:snapToGrid w:val="0"/>
              <w:jc w:val="center"/>
              <w:rPr>
                <w:rFonts w:ascii="Times New Roman" w:hAnsi="Times New Roman" w:eastAsia="宋体" w:cs="Times New Roman"/>
                <w:szCs w:val="21"/>
              </w:rPr>
            </w:pPr>
          </w:p>
        </w:tc>
        <w:tc>
          <w:tcPr>
            <w:tcW w:w="2867"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szCs w:val="21"/>
                <w:highlight w:val="green"/>
              </w:rPr>
            </w:pPr>
            <w:r>
              <w:rPr>
                <w:rFonts w:ascii="Times New Roman" w:hAnsi="Times New Roman" w:eastAsia="宋体" w:cs="Times New Roman"/>
                <w:szCs w:val="21"/>
              </w:rPr>
              <w:t>NB/SH/T 0059—2010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171" w:hRule="atLeast"/>
        </w:trPr>
        <w:tc>
          <w:tcPr>
            <w:tcW w:w="551"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10</w:t>
            </w:r>
          </w:p>
        </w:tc>
        <w:tc>
          <w:tcPr>
            <w:tcW w:w="3004" w:type="dxa"/>
            <w:gridSpan w:val="2"/>
            <w:tcBorders>
              <w:top w:val="single" w:color="auto" w:sz="4" w:space="0"/>
              <w:left w:val="single" w:color="auto" w:sz="4" w:space="0"/>
              <w:bottom w:val="single" w:color="auto" w:sz="4" w:space="0"/>
              <w:right w:val="single" w:color="auto" w:sz="4" w:space="0"/>
            </w:tcBorders>
            <w:vAlign w:val="top"/>
          </w:tcPr>
          <w:p>
            <w:pPr>
              <w:spacing w:line="312" w:lineRule="auto"/>
              <w:jc w:val="center"/>
              <w:rPr>
                <w:rFonts w:hint="default" w:ascii="Times New Roman" w:hAnsi="Times New Roman" w:cs="Times New Roman"/>
                <w:szCs w:val="21"/>
              </w:rPr>
            </w:pPr>
            <w:r>
              <w:rPr>
                <w:rFonts w:hint="default" w:ascii="Times New Roman" w:hAnsi="Times New Roman" w:cs="Times New Roman"/>
                <w:color w:val="404040"/>
              </w:rPr>
              <w:t>边界泵送温度</w:t>
            </w:r>
          </w:p>
        </w:tc>
        <w:tc>
          <w:tcPr>
            <w:tcW w:w="2474" w:type="dxa"/>
            <w:vMerge w:val="continue"/>
            <w:tcBorders>
              <w:left w:val="single" w:color="auto" w:sz="4" w:space="0"/>
              <w:right w:val="single" w:color="auto" w:sz="4" w:space="0"/>
            </w:tcBorders>
            <w:vAlign w:val="center"/>
          </w:tcPr>
          <w:p>
            <w:pPr>
              <w:snapToGrid w:val="0"/>
              <w:jc w:val="center"/>
              <w:rPr>
                <w:rFonts w:ascii="Times New Roman" w:hAnsi="Times New Roman" w:eastAsia="宋体" w:cs="Times New Roman"/>
                <w:szCs w:val="21"/>
              </w:rPr>
            </w:pPr>
          </w:p>
        </w:tc>
        <w:tc>
          <w:tcPr>
            <w:tcW w:w="2867"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lang w:val="en-US" w:eastAsia="zh-CN"/>
              </w:rPr>
            </w:pPr>
            <w:r>
              <w:rPr>
                <w:rFonts w:ascii="Times New Roman" w:hAnsi="Times New Roman" w:eastAsia="宋体" w:cs="Times New Roman"/>
                <w:szCs w:val="21"/>
              </w:rPr>
              <w:t>GB/T 9171—1988</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551"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11</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黏度指数</w:t>
            </w:r>
          </w:p>
        </w:tc>
        <w:tc>
          <w:tcPr>
            <w:tcW w:w="2474" w:type="dxa"/>
            <w:vMerge w:val="continue"/>
            <w:tcBorders>
              <w:left w:val="single" w:color="auto" w:sz="4" w:space="0"/>
              <w:right w:val="single" w:color="auto" w:sz="4" w:space="0"/>
            </w:tcBorders>
            <w:vAlign w:val="center"/>
          </w:tcPr>
          <w:p>
            <w:pPr>
              <w:snapToGrid/>
              <w:ind w:firstLine="1260" w:firstLineChars="600"/>
              <w:jc w:val="left"/>
              <w:rPr>
                <w:rFonts w:ascii="Times New Roman" w:hAnsi="Times New Roman" w:cs="Times New Roman"/>
              </w:rPr>
            </w:pPr>
          </w:p>
        </w:tc>
        <w:tc>
          <w:tcPr>
            <w:tcW w:w="2867" w:type="dxa"/>
            <w:gridSpan w:val="2"/>
            <w:tcBorders>
              <w:top w:val="single" w:color="auto" w:sz="4" w:space="0"/>
              <w:left w:val="single" w:color="auto" w:sz="4" w:space="0"/>
              <w:bottom w:val="single" w:color="auto" w:sz="4" w:space="0"/>
              <w:right w:val="single" w:color="auto" w:sz="4" w:space="0"/>
            </w:tcBorders>
            <w:vAlign w:val="center"/>
          </w:tcPr>
          <w:p>
            <w:pPr>
              <w:ind w:firstLine="630" w:firstLineChars="300"/>
              <w:jc w:val="left"/>
              <w:rPr>
                <w:rFonts w:ascii="Times New Roman" w:hAnsi="Times New Roman" w:eastAsia="宋体" w:cs="Times New Roman"/>
                <w:szCs w:val="21"/>
              </w:rPr>
            </w:pPr>
            <w:r>
              <w:rPr>
                <w:rFonts w:ascii="Times New Roman" w:hAnsi="Times New Roman" w:eastAsia="宋体" w:cs="Times New Roman"/>
                <w:szCs w:val="21"/>
              </w:rPr>
              <w:t>GB/T 1995—1998</w:t>
            </w:r>
          </w:p>
          <w:p>
            <w:pPr>
              <w:snapToGrid/>
              <w:ind w:firstLine="630" w:firstLineChars="300"/>
              <w:jc w:val="left"/>
              <w:rPr>
                <w:rFonts w:ascii="Times New Roman" w:hAnsi="Times New Roman" w:cs="Times New Roman"/>
              </w:rPr>
            </w:pPr>
            <w:r>
              <w:rPr>
                <w:rFonts w:ascii="Times New Roman" w:hAnsi="Times New Roman" w:eastAsia="宋体" w:cs="Times New Roman"/>
                <w:szCs w:val="21"/>
              </w:rPr>
              <w:t>或GB/T 2541—1981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171" w:hRule="atLeast"/>
        </w:trPr>
        <w:tc>
          <w:tcPr>
            <w:tcW w:w="551"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12</w:t>
            </w:r>
          </w:p>
        </w:tc>
        <w:tc>
          <w:tcPr>
            <w:tcW w:w="3004" w:type="dxa"/>
            <w:gridSpan w:val="2"/>
            <w:tcBorders>
              <w:top w:val="single" w:color="auto" w:sz="4" w:space="0"/>
              <w:left w:val="single" w:color="auto" w:sz="4" w:space="0"/>
              <w:bottom w:val="single" w:color="auto" w:sz="4" w:space="0"/>
              <w:right w:val="single" w:color="auto" w:sz="4" w:space="0"/>
            </w:tcBorders>
            <w:vAlign w:val="top"/>
          </w:tcPr>
          <w:p>
            <w:pPr>
              <w:spacing w:line="312" w:lineRule="auto"/>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机械杂质</w:t>
            </w:r>
          </w:p>
        </w:tc>
        <w:tc>
          <w:tcPr>
            <w:tcW w:w="2474" w:type="dxa"/>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eastAsia="宋体" w:cs="Times New Roman"/>
                <w:szCs w:val="21"/>
              </w:rPr>
            </w:pPr>
          </w:p>
        </w:tc>
        <w:tc>
          <w:tcPr>
            <w:tcW w:w="2867"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ascii="Times New Roman" w:hAnsi="Times New Roman" w:eastAsia="宋体" w:cs="Times New Roman"/>
                <w:szCs w:val="21"/>
              </w:rPr>
              <w:t>GB/T 511—2010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1426" w:hRule="atLeast"/>
        </w:trPr>
        <w:tc>
          <w:tcPr>
            <w:tcW w:w="551"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13</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rPr>
            </w:pPr>
          </w:p>
          <w:p>
            <w:pPr>
              <w:spacing w:line="312" w:lineRule="auto"/>
              <w:ind w:firstLine="1050" w:firstLineChars="500"/>
              <w:jc w:val="both"/>
              <w:rPr>
                <w:rFonts w:hint="default" w:ascii="Times New Roman" w:hAnsi="Times New Roman" w:cs="Times New Roman"/>
                <w:szCs w:val="21"/>
              </w:rPr>
            </w:pPr>
            <w:r>
              <w:rPr>
                <w:rFonts w:hint="default" w:ascii="Times New Roman" w:hAnsi="Times New Roman" w:cs="Times New Roman"/>
                <w:szCs w:val="21"/>
              </w:rPr>
              <w:t>磷</w:t>
            </w:r>
          </w:p>
        </w:tc>
        <w:tc>
          <w:tcPr>
            <w:tcW w:w="2474" w:type="dxa"/>
            <w:vMerge w:val="continue"/>
            <w:tcBorders>
              <w:top w:val="single" w:color="auto" w:sz="4" w:space="0"/>
              <w:left w:val="single" w:color="auto" w:sz="4" w:space="0"/>
              <w:bottom w:val="single" w:color="auto" w:sz="4" w:space="0"/>
              <w:right w:val="single" w:color="auto" w:sz="4" w:space="0"/>
            </w:tcBorders>
            <w:vAlign w:val="center"/>
          </w:tcPr>
          <w:p>
            <w:pPr>
              <w:snapToGrid/>
              <w:ind w:firstLine="1260" w:firstLineChars="600"/>
              <w:jc w:val="both"/>
              <w:rPr>
                <w:rFonts w:hint="default" w:ascii="Times New Roman" w:hAnsi="Times New Roman" w:cs="Times New Roman"/>
              </w:rPr>
            </w:pPr>
          </w:p>
        </w:tc>
        <w:tc>
          <w:tcPr>
            <w:tcW w:w="286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GB/T 17476—2023</w:t>
            </w:r>
          </w:p>
          <w:p>
            <w:pPr>
              <w:jc w:val="center"/>
              <w:rPr>
                <w:rFonts w:ascii="Times New Roman" w:hAnsi="Times New Roman" w:eastAsia="宋体" w:cs="Times New Roman"/>
                <w:szCs w:val="21"/>
              </w:rPr>
            </w:pPr>
            <w:r>
              <w:rPr>
                <w:rFonts w:ascii="Times New Roman" w:hAnsi="Times New Roman" w:eastAsia="宋体" w:cs="Times New Roman"/>
                <w:szCs w:val="21"/>
              </w:rPr>
              <w:t>或SH/T 0631—1996</w:t>
            </w:r>
          </w:p>
          <w:p>
            <w:pPr>
              <w:jc w:val="center"/>
              <w:rPr>
                <w:rFonts w:ascii="Times New Roman" w:hAnsi="Times New Roman" w:eastAsia="宋体" w:cs="Times New Roman"/>
                <w:szCs w:val="21"/>
              </w:rPr>
            </w:pPr>
            <w:r>
              <w:rPr>
                <w:rFonts w:ascii="Times New Roman" w:hAnsi="Times New Roman" w:eastAsia="宋体" w:cs="Times New Roman"/>
                <w:szCs w:val="21"/>
              </w:rPr>
              <w:t>或SH/T 0749—2004</w:t>
            </w:r>
          </w:p>
          <w:p>
            <w:pPr>
              <w:snapToGrid/>
              <w:ind w:firstLine="0" w:firstLineChars="0"/>
              <w:jc w:val="center"/>
              <w:rPr>
                <w:rFonts w:ascii="Times New Roman" w:hAnsi="Times New Roman" w:cs="Times New Roman"/>
              </w:rPr>
            </w:pPr>
            <w:r>
              <w:rPr>
                <w:rFonts w:ascii="Times New Roman" w:hAnsi="Times New Roman" w:eastAsia="宋体" w:cs="Times New Roman"/>
                <w:szCs w:val="21"/>
              </w:rPr>
              <w:t>或SH/T 0296—1992</w:t>
            </w:r>
          </w:p>
        </w:tc>
      </w:tr>
    </w:tbl>
    <w:p>
      <w:pPr>
        <w:snapToGrid w:val="0"/>
        <w:spacing w:line="440" w:lineRule="exact"/>
        <w:ind w:firstLine="420" w:firstLineChars="200"/>
        <w:rPr>
          <w:rFonts w:hint="eastAsia" w:ascii="宋体" w:hAnsi="宋体"/>
          <w:color w:val="000000"/>
        </w:rPr>
      </w:pPr>
      <w:bookmarkStart w:id="0" w:name="_Hlk40347690"/>
      <w:r>
        <w:rPr>
          <w:rFonts w:hint="eastAsia" w:ascii="宋体" w:hAnsi="宋体"/>
          <w:color w:val="000000"/>
        </w:rPr>
        <w:t>执行企业标准、团体标准、地方标准的产品，检验项目参照上述内容执行。</w:t>
      </w:r>
      <w:bookmarkEnd w:id="0"/>
    </w:p>
    <w:p>
      <w:pPr>
        <w:snapToGrid w:val="0"/>
        <w:spacing w:line="440" w:lineRule="exact"/>
        <w:ind w:firstLine="420" w:firstLineChars="200"/>
        <w:rPr>
          <w:rFonts w:hint="eastAsia" w:ascii="黑体" w:hAnsi="宋体" w:eastAsia="黑体"/>
          <w:color w:val="000000"/>
        </w:rPr>
      </w:pPr>
      <w:r>
        <w:rPr>
          <w:rFonts w:hint="eastAsia" w:ascii="宋体" w:hAnsi="宋体"/>
          <w:color w:val="000000"/>
        </w:rPr>
        <w:t>凡是注日期的文件，其随后所有的修改单（不包括勘误的内容）或修订版不适用于本细则。凡是不注日期的文件，其最新版本适用于本细则。</w:t>
      </w:r>
    </w:p>
    <w:p>
      <w:pPr>
        <w:snapToGrid w:val="0"/>
        <w:spacing w:line="440" w:lineRule="exact"/>
        <w:rPr>
          <w:rFonts w:hint="default" w:ascii="Times New Roman" w:hAnsi="Times New Roman" w:eastAsia="黑体" w:cs="Times New Roman"/>
          <w:color w:val="000000"/>
        </w:rPr>
      </w:pPr>
      <w:bookmarkStart w:id="1" w:name="_GoBack"/>
      <w:bookmarkEnd w:id="1"/>
      <w:r>
        <w:rPr>
          <w:rFonts w:hint="default" w:ascii="Times New Roman" w:hAnsi="Times New Roman" w:eastAsia="黑体" w:cs="Times New Roman"/>
          <w:color w:val="000000"/>
        </w:rPr>
        <w:t xml:space="preserve">3 </w:t>
      </w:r>
      <w:r>
        <w:rPr>
          <w:rFonts w:hint="eastAsia" w:ascii="Times New Roman" w:hAnsi="Times New Roman" w:eastAsia="黑体" w:cs="Times New Roman"/>
          <w:color w:val="000000"/>
          <w:lang w:eastAsia="zh-CN"/>
        </w:rPr>
        <w:t>判定规则</w:t>
      </w:r>
    </w:p>
    <w:p>
      <w:pPr>
        <w:snapToGrid w:val="0"/>
        <w:spacing w:line="440" w:lineRule="exact"/>
        <w:rPr>
          <w:rFonts w:ascii="Times New Roman" w:hAnsi="Times New Roman" w:cs="Times New Roman"/>
          <w:color w:val="000000"/>
        </w:rPr>
      </w:pPr>
      <w:r>
        <w:rPr>
          <w:rFonts w:ascii="Times New Roman" w:hAnsi="Times New Roman" w:cs="Times New Roman"/>
          <w:color w:val="000000"/>
        </w:rPr>
        <w:t>3.1</w:t>
      </w:r>
      <w:r>
        <w:rPr>
          <w:rFonts w:ascii="Times New Roman" w:hAnsi="宋体" w:cs="Times New Roman"/>
          <w:color w:val="000000"/>
        </w:rPr>
        <w:t>依据标准</w:t>
      </w:r>
    </w:p>
    <w:p>
      <w:pPr>
        <w:snapToGrid w:val="0"/>
        <w:spacing w:line="440" w:lineRule="exact"/>
        <w:ind w:firstLine="359" w:firstLineChars="171"/>
        <w:rPr>
          <w:rFonts w:ascii="Times New Roman" w:hAnsi="Times New Roman" w:cs="Times New Roman"/>
          <w:color w:val="000000"/>
          <w:szCs w:val="21"/>
        </w:rPr>
      </w:pPr>
      <w:r>
        <w:rPr>
          <w:rFonts w:ascii="Times New Roman" w:hAnsi="Times New Roman" w:cs="Times New Roman"/>
          <w:color w:val="000000"/>
          <w:szCs w:val="21"/>
        </w:rPr>
        <w:t>GB 11122</w:t>
      </w:r>
      <w:r>
        <w:rPr>
          <w:rFonts w:ascii="Times New Roman" w:hAnsi="Times New Roman" w:eastAsia="宋体" w:cs="Times New Roman"/>
          <w:szCs w:val="21"/>
        </w:rPr>
        <w:t>—</w:t>
      </w:r>
      <w:r>
        <w:rPr>
          <w:rFonts w:ascii="Times New Roman" w:hAnsi="Times New Roman" w:cs="Times New Roman"/>
          <w:color w:val="000000"/>
          <w:szCs w:val="21"/>
        </w:rPr>
        <w:t>2006</w:t>
      </w:r>
      <w:r>
        <w:rPr>
          <w:rFonts w:hint="eastAsia" w:ascii="Times New Roman" w:hAnsi="Times New Roman" w:cs="Times New Roman"/>
          <w:color w:val="000000"/>
          <w:szCs w:val="21"/>
          <w:lang w:val="en-US" w:eastAsia="zh-CN"/>
        </w:rPr>
        <w:t xml:space="preserve"> </w:t>
      </w:r>
      <w:r>
        <w:rPr>
          <w:rFonts w:ascii="Times New Roman" w:hAnsi="Times New Roman" w:cs="Times New Roman"/>
          <w:color w:val="000000"/>
          <w:szCs w:val="21"/>
        </w:rPr>
        <w:t>柴油机油</w:t>
      </w:r>
    </w:p>
    <w:p>
      <w:pPr>
        <w:snapToGrid w:val="0"/>
        <w:spacing w:line="440" w:lineRule="exact"/>
        <w:ind w:firstLine="359" w:firstLineChars="171"/>
        <w:rPr>
          <w:rFonts w:ascii="Times New Roman" w:hAnsi="Times New Roman" w:cs="Times New Roman"/>
          <w:color w:val="000000"/>
          <w:szCs w:val="21"/>
        </w:rPr>
      </w:pPr>
      <w:r>
        <w:rPr>
          <w:rFonts w:ascii="Times New Roman" w:hAnsi="Times New Roman" w:cs="Times New Roman"/>
          <w:color w:val="000000"/>
          <w:szCs w:val="21"/>
        </w:rPr>
        <w:t>GB 11121</w:t>
      </w:r>
      <w:r>
        <w:rPr>
          <w:rFonts w:ascii="Times New Roman" w:hAnsi="Times New Roman" w:eastAsia="宋体" w:cs="Times New Roman"/>
          <w:szCs w:val="21"/>
        </w:rPr>
        <w:t>—</w:t>
      </w:r>
      <w:r>
        <w:rPr>
          <w:rFonts w:ascii="Times New Roman" w:hAnsi="Times New Roman" w:cs="Times New Roman"/>
          <w:color w:val="000000"/>
          <w:szCs w:val="21"/>
        </w:rPr>
        <w:t>2006</w:t>
      </w:r>
      <w:r>
        <w:rPr>
          <w:rFonts w:hint="eastAsia" w:ascii="Times New Roman" w:hAnsi="Times New Roman" w:cs="Times New Roman"/>
          <w:color w:val="000000"/>
          <w:szCs w:val="21"/>
          <w:lang w:val="en-US" w:eastAsia="zh-CN"/>
        </w:rPr>
        <w:t xml:space="preserve"> </w:t>
      </w:r>
      <w:r>
        <w:rPr>
          <w:rFonts w:ascii="Times New Roman" w:hAnsi="Times New Roman" w:cs="Times New Roman"/>
          <w:color w:val="000000"/>
          <w:szCs w:val="21"/>
        </w:rPr>
        <w:t>汽油机油</w:t>
      </w:r>
    </w:p>
    <w:p>
      <w:pPr>
        <w:snapToGrid w:val="0"/>
        <w:spacing w:line="440" w:lineRule="exact"/>
        <w:ind w:firstLine="359" w:firstLineChars="171"/>
        <w:rPr>
          <w:color w:val="000000"/>
          <w:szCs w:val="21"/>
        </w:rPr>
      </w:pPr>
      <w:r>
        <w:rPr>
          <w:color w:val="000000"/>
          <w:szCs w:val="21"/>
        </w:rPr>
        <w:t>现行有效的企业标准、团体标准、地方标准及产品明示质量要</w:t>
      </w:r>
      <w:r>
        <w:rPr>
          <w:rFonts w:hint="eastAsia"/>
          <w:color w:val="000000"/>
          <w:szCs w:val="21"/>
        </w:rPr>
        <w:t>求</w:t>
      </w:r>
    </w:p>
    <w:p>
      <w:pPr>
        <w:snapToGrid w:val="0"/>
        <w:spacing w:line="440" w:lineRule="exact"/>
        <w:rPr>
          <w:rFonts w:ascii="Times New Roman" w:hAnsi="Times New Roman" w:cs="Times New Roman"/>
          <w:color w:val="000000"/>
        </w:rPr>
      </w:pPr>
      <w:r>
        <w:rPr>
          <w:rFonts w:ascii="Times New Roman" w:hAnsi="Times New Roman" w:cs="Times New Roman"/>
          <w:color w:val="000000"/>
        </w:rPr>
        <w:t>3.2</w:t>
      </w:r>
      <w:r>
        <w:rPr>
          <w:rFonts w:ascii="Times New Roman" w:hAnsi="宋体" w:cs="Times New Roman"/>
          <w:color w:val="000000"/>
        </w:rPr>
        <w:t>判定原则</w:t>
      </w:r>
    </w:p>
    <w:p>
      <w:pPr>
        <w:snapToGrid w:val="0"/>
        <w:spacing w:line="440" w:lineRule="exact"/>
        <w:ind w:firstLine="420" w:firstLineChars="200"/>
        <w:rPr>
          <w:szCs w:val="21"/>
        </w:rPr>
      </w:pPr>
      <w:r>
        <w:rPr>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pPr>
        <w:snapToGrid w:val="0"/>
        <w:spacing w:line="440" w:lineRule="exact"/>
        <w:ind w:firstLine="420" w:firstLineChars="200"/>
        <w:rPr>
          <w:rFonts w:hint="eastAsia" w:ascii="宋体" w:hAnsi="宋体"/>
          <w:color w:val="000000"/>
        </w:rPr>
      </w:pPr>
    </w:p>
    <w:p/>
    <w:sectPr>
      <w:headerReference r:id="rId4" w:type="default"/>
      <w:footerReference r:id="rId5" w:type="default"/>
      <w:pgSz w:w="11906" w:h="16838"/>
      <w:pgMar w:top="2098" w:right="1474" w:bottom="1984" w:left="1587" w:header="851" w:footer="992" w:gutter="0"/>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altName w:val="Arial Unicode MS"/>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Times New Roman"/>
        <w:kern w:val="2"/>
        <w:sz w:val="18"/>
        <w:szCs w:val="18"/>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ascii="Times New Roman" w:hAnsi="Times New Roman" w:cs="Times New Roman"/>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t>1</w:t>
                </w:r>
                <w:r>
                  <w:rPr>
                    <w:rFonts w:ascii="Times New Roman" w:hAnsi="Times New Roman" w:cs="Times New Roman"/>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5E9B6601"/>
    <w:rsid w:val="7B751B4F"/>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uiPriority w:val="0"/>
    <w:pPr>
      <w:tabs>
        <w:tab w:val="center" w:pos="4153"/>
        <w:tab w:val="right" w:pos="8306"/>
      </w:tabs>
      <w:snapToGrid w:val="0"/>
      <w:jc w:val="left"/>
    </w:pPr>
    <w:rPr>
      <w:rFonts w:cs="Times New Roman"/>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2025-03-06T02:48:00Z</dcterms:created>
  <dc:creator>1</dc:creator>
  <cp:lastModifiedBy>zhouwei</cp:lastModifiedBy>
  <dcterms:modified xsi:type="dcterms:W3CDTF">2025-03-20T07:11:20Z</dcterms:modified>
  <dc:title>2025年北京市汽油机油、柴油机油产品质量监督抽查实施细则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KSOTemplateDocerSaveRecord">
    <vt:lpwstr>eyJoZGlkIjoiMGJlMzIwMmViNTNkOGQ4MGZmZDFjYmMwNWExMmU1ZmQifQ==</vt:lpwstr>
  </property>
  <property fmtid="{D5CDD505-2E9C-101B-9397-08002B2CF9AE}" pid="4" name="ICV">
    <vt:lpwstr>7AE12FF80F4C42D18DF54CC7D93550A1_12</vt:lpwstr>
  </property>
</Properties>
</file>