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440" w:lineRule="exact"/>
        <w:jc w:val="center"/>
        <w:rPr>
          <w:rFonts w:eastAsia="方正小标宋简体" w:cs="Times New Roman"/>
          <w:color w:val="000000"/>
          <w:sz w:val="32"/>
          <w:szCs w:val="32"/>
        </w:rPr>
      </w:pPr>
      <w:r>
        <w:rPr>
          <w:rFonts w:eastAsia="方正小标宋简体" w:cs="Times New Roman"/>
          <w:color w:val="000000"/>
          <w:sz w:val="32"/>
          <w:szCs w:val="32"/>
        </w:rPr>
        <w:t>20</w:t>
      </w:r>
      <w:r>
        <w:rPr>
          <w:rFonts w:hint="eastAsia" w:eastAsia="方正小标宋简体" w:cs="Times New Roman"/>
          <w:color w:val="000000"/>
          <w:sz w:val="32"/>
          <w:szCs w:val="32"/>
          <w:lang w:val="en-US" w:eastAsia="zh-CN"/>
        </w:rPr>
        <w:t>25</w:t>
      </w:r>
      <w:r>
        <w:rPr>
          <w:rFonts w:eastAsia="方正小标宋简体" w:cs="Times New Roman"/>
          <w:color w:val="000000"/>
          <w:sz w:val="32"/>
          <w:szCs w:val="32"/>
        </w:rPr>
        <w:t>年北京市童鞋产品质量监督抽查实施细则</w:t>
      </w:r>
    </w:p>
    <w:p>
      <w:pPr>
        <w:snapToGrid w:val="0"/>
        <w:spacing w:line="440" w:lineRule="exact"/>
        <w:rPr>
          <w:rFonts w:eastAsia="黑体" w:cs="Times New Roman"/>
          <w:color w:val="000000"/>
        </w:rPr>
      </w:pPr>
    </w:p>
    <w:p>
      <w:pPr>
        <w:snapToGrid w:val="0"/>
        <w:spacing w:line="440" w:lineRule="exact"/>
        <w:rPr>
          <w:rFonts w:eastAsia="黑体" w:cs="Times New Roman"/>
          <w:color w:val="000000"/>
        </w:rPr>
      </w:pPr>
      <w:r>
        <w:rPr>
          <w:rFonts w:eastAsia="黑体" w:cs="Times New Roman"/>
          <w:color w:val="000000"/>
        </w:rPr>
        <w:t>1 抽样方法</w:t>
      </w:r>
    </w:p>
    <w:p>
      <w:pPr>
        <w:snapToGrid w:val="0"/>
        <w:spacing w:line="440" w:lineRule="exact"/>
        <w:ind w:firstLine="420" w:firstLineChars="200"/>
        <w:rPr>
          <w:rFonts w:cs="Times New Roman"/>
          <w:color w:val="000000"/>
        </w:rPr>
      </w:pPr>
      <w:r>
        <w:rPr>
          <w:rFonts w:cs="Times New Roman"/>
          <w:color w:val="000000"/>
        </w:rPr>
        <w:t>以随机抽样的方式在被抽样生产者、销售者的待销产品中抽取。</w:t>
      </w:r>
    </w:p>
    <w:p>
      <w:pPr>
        <w:snapToGrid w:val="0"/>
        <w:spacing w:line="440" w:lineRule="exact"/>
        <w:ind w:firstLine="420" w:firstLineChars="200"/>
        <w:rPr>
          <w:rFonts w:cs="Times New Roman"/>
          <w:color w:val="000000"/>
        </w:rPr>
      </w:pPr>
      <w:r>
        <w:rPr>
          <w:rFonts w:cs="Times New Roman"/>
          <w:color w:val="000000"/>
        </w:rPr>
        <w:t>随机数一般可使用随机数表等方法产生。</w:t>
      </w:r>
    </w:p>
    <w:p>
      <w:pPr>
        <w:snapToGrid w:val="0"/>
        <w:spacing w:line="440" w:lineRule="exact"/>
        <w:ind w:firstLine="420" w:firstLineChars="200"/>
        <w:rPr>
          <w:rFonts w:cs="Times New Roman"/>
          <w:color w:val="000000"/>
        </w:rPr>
      </w:pPr>
      <w:r>
        <w:rPr>
          <w:rFonts w:cs="Times New Roman"/>
          <w:color w:val="000000"/>
        </w:rPr>
        <w:t>抽样基数满足抽样数量即可，抽取3双，2双为检验用样品，另1双为备用样品。</w:t>
      </w:r>
    </w:p>
    <w:p>
      <w:pPr>
        <w:spacing w:line="360" w:lineRule="auto"/>
        <w:outlineLvl w:val="0"/>
        <w:rPr>
          <w:rFonts w:cs="Times New Roman"/>
          <w:color w:val="000000"/>
        </w:rPr>
      </w:pPr>
    </w:p>
    <w:p>
      <w:pPr>
        <w:snapToGrid w:val="0"/>
        <w:spacing w:line="440" w:lineRule="exact"/>
        <w:rPr>
          <w:rFonts w:eastAsia="黑体" w:cs="Times New Roman"/>
          <w:color w:val="000000"/>
        </w:rPr>
      </w:pPr>
      <w:r>
        <w:rPr>
          <w:rFonts w:eastAsia="黑体" w:cs="Times New Roman"/>
          <w:color w:val="000000"/>
        </w:rPr>
        <w:t>2 检验依据</w:t>
      </w:r>
    </w:p>
    <w:p>
      <w:pPr>
        <w:snapToGrid w:val="0"/>
        <w:spacing w:line="440" w:lineRule="exact"/>
        <w:rPr>
          <w:rFonts w:eastAsia="黑体" w:cs="Times New Roman"/>
          <w:color w:val="000000"/>
        </w:rPr>
      </w:pPr>
    </w:p>
    <w:tbl>
      <w:tblPr>
        <w:tblStyle w:val="18"/>
        <w:tblW w:w="89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0"/>
        <w:gridCol w:w="3495"/>
        <w:gridCol w:w="2110"/>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6" w:hRule="atLeast"/>
          <w:tblHeader/>
        </w:trPr>
        <w:tc>
          <w:tcPr>
            <w:tcW w:w="1240" w:type="dxa"/>
            <w:vAlign w:val="center"/>
          </w:tcPr>
          <w:p>
            <w:pPr>
              <w:jc w:val="center"/>
              <w:rPr>
                <w:rFonts w:cs="Times New Roman"/>
              </w:rPr>
            </w:pPr>
            <w:r>
              <w:rPr>
                <w:rFonts w:cs="Times New Roman"/>
              </w:rPr>
              <w:t>序号</w:t>
            </w:r>
          </w:p>
        </w:tc>
        <w:tc>
          <w:tcPr>
            <w:tcW w:w="3495" w:type="dxa"/>
            <w:vAlign w:val="center"/>
          </w:tcPr>
          <w:p>
            <w:pPr>
              <w:jc w:val="center"/>
              <w:rPr>
                <w:rFonts w:cs="Times New Roman"/>
              </w:rPr>
            </w:pPr>
            <w:r>
              <w:rPr>
                <w:rFonts w:cs="Times New Roman"/>
              </w:rPr>
              <w:t>检验项目</w:t>
            </w:r>
          </w:p>
        </w:tc>
        <w:tc>
          <w:tcPr>
            <w:tcW w:w="2110" w:type="dxa"/>
            <w:vAlign w:val="center"/>
          </w:tcPr>
          <w:p>
            <w:pPr>
              <w:jc w:val="center"/>
              <w:rPr>
                <w:rFonts w:hint="eastAsia" w:eastAsia="宋体" w:cs="Times New Roman"/>
                <w:lang w:val="en-US" w:eastAsia="zh-CN"/>
              </w:rPr>
            </w:pPr>
            <w:r>
              <w:rPr>
                <w:rFonts w:hint="eastAsia" w:cs="Times New Roman"/>
                <w:lang w:val="en-US" w:eastAsia="zh-CN"/>
              </w:rPr>
              <w:t>检验依据</w:t>
            </w:r>
          </w:p>
        </w:tc>
        <w:tc>
          <w:tcPr>
            <w:tcW w:w="2113" w:type="dxa"/>
            <w:vAlign w:val="center"/>
          </w:tcPr>
          <w:p>
            <w:pPr>
              <w:jc w:val="center"/>
              <w:rPr>
                <w:rFonts w:cs="Times New Roman"/>
              </w:rPr>
            </w:pPr>
            <w:r>
              <w:rPr>
                <w:rFonts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1</w:t>
            </w:r>
          </w:p>
        </w:tc>
        <w:tc>
          <w:tcPr>
            <w:tcW w:w="3495" w:type="dxa"/>
            <w:vAlign w:val="center"/>
          </w:tcPr>
          <w:p>
            <w:pPr>
              <w:jc w:val="center"/>
              <w:rPr>
                <w:rFonts w:cs="Times New Roman"/>
              </w:rPr>
            </w:pPr>
            <w:r>
              <w:rPr>
                <w:rFonts w:cs="Times New Roman"/>
              </w:rPr>
              <w:t>露钉尖</w:t>
            </w:r>
          </w:p>
        </w:tc>
        <w:tc>
          <w:tcPr>
            <w:tcW w:w="2110"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tc>
        <w:tc>
          <w:tcPr>
            <w:tcW w:w="2113" w:type="dxa"/>
            <w:vAlign w:val="center"/>
          </w:tcPr>
          <w:p>
            <w:pPr>
              <w:jc w:val="center"/>
              <w:rPr>
                <w:rFonts w:hint="default" w:ascii="Times New Roman" w:hAnsi="Times New Roman" w:eastAsia="宋体" w:cs="Times New Roman"/>
                <w:lang w:val="en-US" w:eastAsia="zh-CN"/>
              </w:rPr>
            </w:pPr>
            <w:bookmarkStart w:id="0" w:name="OLE_LINK5"/>
            <w:r>
              <w:rPr>
                <w:rFonts w:hint="default" w:ascii="Times New Roman" w:hAnsi="Times New Roman" w:cs="Times New Roman"/>
              </w:rPr>
              <w:t>GB 30585</w:t>
            </w:r>
            <w:r>
              <w:rPr>
                <w:rFonts w:hint="default" w:ascii="Times New Roman" w:hAnsi="Times New Roman" w:cs="Times New Roman"/>
                <w:lang w:val="en-US" w:eastAsia="zh-CN"/>
              </w:rPr>
              <w:t>—2014</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2</w:t>
            </w:r>
          </w:p>
        </w:tc>
        <w:tc>
          <w:tcPr>
            <w:tcW w:w="3495" w:type="dxa"/>
            <w:vAlign w:val="center"/>
          </w:tcPr>
          <w:p>
            <w:pPr>
              <w:jc w:val="center"/>
              <w:rPr>
                <w:rFonts w:cs="Times New Roman"/>
              </w:rPr>
            </w:pPr>
            <w:r>
              <w:rPr>
                <w:rFonts w:cs="Times New Roman"/>
              </w:rPr>
              <w:t>锐利边缘和锐利尖端</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GB 6675.2</w:t>
            </w:r>
            <w:r>
              <w:rPr>
                <w:rFonts w:hint="default" w:ascii="Times New Roman" w:hAnsi="Times New Roman" w:cs="Times New Roman"/>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3</w:t>
            </w:r>
          </w:p>
        </w:tc>
        <w:tc>
          <w:tcPr>
            <w:tcW w:w="3495" w:type="dxa"/>
            <w:vAlign w:val="center"/>
          </w:tcPr>
          <w:p>
            <w:pPr>
              <w:jc w:val="center"/>
              <w:rPr>
                <w:rFonts w:cs="Times New Roman"/>
              </w:rPr>
            </w:pPr>
            <w:r>
              <w:rPr>
                <w:rFonts w:cs="Times New Roman"/>
              </w:rPr>
              <w:t>可拆卸小附件</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cs="Times New Roman"/>
                <w:lang w:val="en-US" w:eastAsia="zh-CN"/>
              </w:rPr>
            </w:pPr>
            <w:bookmarkStart w:id="1" w:name="OLE_LINK2"/>
            <w:bookmarkStart w:id="2" w:name="OLE_LINK3"/>
            <w:r>
              <w:rPr>
                <w:rFonts w:hint="default" w:ascii="Times New Roman" w:hAnsi="Times New Roman" w:cs="Times New Roman"/>
              </w:rPr>
              <w:t>GB 30585</w:t>
            </w:r>
            <w:r>
              <w:rPr>
                <w:rFonts w:hint="default" w:ascii="Times New Roman" w:hAnsi="Times New Roman" w:cs="Times New Roman"/>
                <w:lang w:val="en-US" w:eastAsia="zh-CN"/>
              </w:rPr>
              <w:t>—2014</w:t>
            </w:r>
          </w:p>
          <w:bookmarkEnd w:id="1"/>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—2024</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4</w:t>
            </w:r>
          </w:p>
        </w:tc>
        <w:tc>
          <w:tcPr>
            <w:tcW w:w="3495" w:type="dxa"/>
            <w:vAlign w:val="center"/>
          </w:tcPr>
          <w:p>
            <w:pPr>
              <w:jc w:val="center"/>
              <w:rPr>
                <w:rFonts w:cs="Times New Roman"/>
              </w:rPr>
            </w:pPr>
            <w:r>
              <w:rPr>
                <w:rFonts w:cs="Times New Roman"/>
              </w:rPr>
              <w:t>小附件抗拉强力</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5</w:t>
            </w:r>
          </w:p>
        </w:tc>
        <w:tc>
          <w:tcPr>
            <w:tcW w:w="3495" w:type="dxa"/>
            <w:vAlign w:val="center"/>
          </w:tcPr>
          <w:p>
            <w:pPr>
              <w:jc w:val="center"/>
              <w:rPr>
                <w:rFonts w:cs="Times New Roman"/>
              </w:rPr>
            </w:pPr>
            <w:r>
              <w:rPr>
                <w:rFonts w:cs="Times New Roman"/>
              </w:rPr>
              <w:t>有效跟高</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cs="Times New Roman"/>
                <w:lang w:val="en-US" w:eastAsia="zh-CN"/>
              </w:rPr>
            </w:pPr>
            <w:bookmarkStart w:id="3" w:name="OLE_LINK1"/>
            <w:r>
              <w:rPr>
                <w:rFonts w:hint="default" w:ascii="Times New Roman" w:hAnsi="Times New Roman" w:cs="Times New Roman"/>
              </w:rPr>
              <w:t>GB 30585</w:t>
            </w:r>
            <w:r>
              <w:rPr>
                <w:rFonts w:hint="default" w:ascii="Times New Roman" w:hAnsi="Times New Roman" w:cs="Times New Roman"/>
                <w:lang w:val="en-US" w:eastAsia="zh-CN"/>
              </w:rPr>
              <w:t>—2014</w:t>
            </w:r>
          </w:p>
          <w:bookmarkEnd w:id="3"/>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6</w:t>
            </w:r>
          </w:p>
        </w:tc>
        <w:tc>
          <w:tcPr>
            <w:tcW w:w="3495" w:type="dxa"/>
            <w:vAlign w:val="center"/>
          </w:tcPr>
          <w:p>
            <w:pPr>
              <w:adjustRightInd w:val="0"/>
              <w:snapToGrid w:val="0"/>
              <w:jc w:val="center"/>
              <w:rPr>
                <w:rFonts w:cs="Times New Roman"/>
              </w:rPr>
            </w:pPr>
            <w:r>
              <w:rPr>
                <w:rFonts w:ascii="Times New Roman" w:hAnsi="Times New Roman" w:cs="Times New Roman"/>
              </w:rPr>
              <w:t>皮革和毛皮中的六价铬</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adjustRightInd w:val="0"/>
              <w:snapToGrid w:val="0"/>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adjustRightInd w:val="0"/>
              <w:snapToGrid w:val="0"/>
              <w:jc w:val="center"/>
              <w:rPr>
                <w:rFonts w:hint="default" w:ascii="Times New Roman" w:hAnsi="Times New Roman" w:eastAsia="宋体" w:cs="Times New Roman"/>
                <w:lang w:val="en-US" w:eastAsia="zh-CN"/>
              </w:rPr>
            </w:pPr>
            <w:r>
              <w:rPr>
                <w:rFonts w:hint="default" w:ascii="Times New Roman" w:hAnsi="Times New Roman" w:cs="Times New Roman"/>
              </w:rPr>
              <w:t>GB/T 22807</w:t>
            </w:r>
            <w:r>
              <w:rPr>
                <w:rFonts w:hint="default" w:ascii="Times New Roman" w:hAnsi="Times New Roman" w:cs="Times New Roman"/>
                <w:lang w:val="en-US" w:eastAsia="zh-CN"/>
              </w:rPr>
              <w:t>—2019</w:t>
            </w:r>
          </w:p>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rPr>
              <w:t xml:space="preserve">GB/T </w:t>
            </w:r>
            <w:r>
              <w:rPr>
                <w:rFonts w:hint="default" w:ascii="Times New Roman" w:hAnsi="Times New Roman" w:cs="Times New Roman"/>
                <w:lang w:val="en-US" w:eastAsia="zh-CN"/>
              </w:rPr>
              <w:t>38402—2019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7</w:t>
            </w:r>
          </w:p>
        </w:tc>
        <w:tc>
          <w:tcPr>
            <w:tcW w:w="3495" w:type="dxa"/>
            <w:vAlign w:val="center"/>
          </w:tcPr>
          <w:p>
            <w:pPr>
              <w:jc w:val="center"/>
              <w:rPr>
                <w:rFonts w:cs="Times New Roman"/>
              </w:rPr>
            </w:pPr>
            <w:r>
              <w:rPr>
                <w:rFonts w:cs="Times New Roman"/>
              </w:rPr>
              <w:t>可分解有害芳香胺染料（纺织品）</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GB/T 17592</w:t>
            </w:r>
            <w:r>
              <w:rPr>
                <w:rFonts w:hint="default" w:ascii="Times New Roman" w:hAnsi="Times New Roman" w:cs="Times New Roman"/>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hint="eastAsia" w:eastAsia="宋体" w:cs="Times New Roman"/>
                <w:lang w:val="en-US" w:eastAsia="zh-CN"/>
              </w:rPr>
            </w:pPr>
            <w:r>
              <w:rPr>
                <w:rFonts w:hint="eastAsia" w:cs="Times New Roman"/>
                <w:lang w:val="en-US" w:eastAsia="zh-CN"/>
              </w:rPr>
              <w:t>8</w:t>
            </w:r>
          </w:p>
        </w:tc>
        <w:tc>
          <w:tcPr>
            <w:tcW w:w="3495" w:type="dxa"/>
            <w:vAlign w:val="center"/>
          </w:tcPr>
          <w:p>
            <w:pPr>
              <w:jc w:val="center"/>
              <w:rPr>
                <w:rFonts w:cs="Times New Roman"/>
              </w:rPr>
            </w:pPr>
            <w:r>
              <w:rPr>
                <w:rFonts w:cs="Times New Roman"/>
              </w:rPr>
              <w:t>可分解有害芳香胺染料（皮革和毛皮）</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cs="Times New Roman"/>
              </w:rPr>
            </w:pPr>
            <w:r>
              <w:rPr>
                <w:rFonts w:hint="default" w:ascii="Times New Roman" w:hAnsi="Times New Roman" w:cs="Times New Roman"/>
              </w:rPr>
              <w:t>GB/T 19942</w:t>
            </w:r>
            <w:r>
              <w:rPr>
                <w:rFonts w:hint="default" w:ascii="Times New Roman" w:hAnsi="Times New Roman" w:cs="Times New Roman"/>
                <w:lang w:val="en-US" w:eastAsia="zh-CN"/>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hint="eastAsia" w:cs="Times New Roman"/>
                <w:lang w:val="en-US" w:eastAsia="zh-CN"/>
              </w:rPr>
              <w:t>9</w:t>
            </w:r>
          </w:p>
        </w:tc>
        <w:tc>
          <w:tcPr>
            <w:tcW w:w="3495" w:type="dxa"/>
            <w:vAlign w:val="center"/>
          </w:tcPr>
          <w:p>
            <w:pPr>
              <w:jc w:val="center"/>
              <w:rPr>
                <w:rFonts w:cs="Times New Roman"/>
              </w:rPr>
            </w:pPr>
            <w:r>
              <w:rPr>
                <w:rFonts w:cs="Times New Roman"/>
              </w:rPr>
              <w:t>甲醛（纺织品）</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GB/T 2912.1</w:t>
            </w:r>
            <w:r>
              <w:rPr>
                <w:rFonts w:hint="default" w:ascii="Times New Roman" w:hAnsi="Times New Roman" w:cs="Times New Roman"/>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hint="default" w:eastAsia="宋体" w:cs="Times New Roman"/>
                <w:lang w:val="en-US" w:eastAsia="zh-CN"/>
              </w:rPr>
            </w:pPr>
            <w:r>
              <w:rPr>
                <w:rFonts w:hint="eastAsia" w:cs="Times New Roman"/>
                <w:lang w:val="en-US" w:eastAsia="zh-CN"/>
              </w:rPr>
              <w:t>10</w:t>
            </w:r>
          </w:p>
        </w:tc>
        <w:tc>
          <w:tcPr>
            <w:tcW w:w="3495" w:type="dxa"/>
            <w:vAlign w:val="center"/>
          </w:tcPr>
          <w:p>
            <w:pPr>
              <w:jc w:val="center"/>
              <w:rPr>
                <w:rFonts w:cs="Times New Roman"/>
              </w:rPr>
            </w:pPr>
            <w:r>
              <w:rPr>
                <w:rFonts w:cs="Times New Roman"/>
              </w:rPr>
              <w:t>甲醛（皮革和毛皮）</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GB/T 19941.1</w:t>
            </w:r>
            <w:r>
              <w:rPr>
                <w:rFonts w:hint="default" w:ascii="Times New Roman" w:hAnsi="Times New Roman" w:cs="Times New Roman"/>
                <w:lang w:val="en-US" w:eastAsia="zh-CN"/>
              </w:rPr>
              <w:t>—2019</w:t>
            </w:r>
          </w:p>
          <w:p>
            <w:pPr>
              <w:jc w:val="center"/>
              <w:rPr>
                <w:rFonts w:hint="default" w:ascii="Times New Roman" w:hAnsi="Times New Roman" w:cs="Times New Roman"/>
                <w:lang w:val="en-US"/>
              </w:rPr>
            </w:pPr>
            <w:r>
              <w:rPr>
                <w:rFonts w:hint="default" w:ascii="Times New Roman" w:hAnsi="Times New Roman" w:cs="Times New Roman"/>
              </w:rPr>
              <w:t>GB/T 19941.</w:t>
            </w:r>
            <w:r>
              <w:rPr>
                <w:rFonts w:hint="default" w:ascii="Times New Roman" w:hAnsi="Times New Roman" w:cs="Times New Roman"/>
                <w:lang w:val="en-US" w:eastAsia="zh-CN"/>
              </w:rPr>
              <w:t>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hint="eastAsia" w:cs="Times New Roman"/>
                <w:lang w:val="en-US" w:eastAsia="zh-CN"/>
              </w:rPr>
              <w:t>11</w:t>
            </w:r>
          </w:p>
        </w:tc>
        <w:tc>
          <w:tcPr>
            <w:tcW w:w="3495" w:type="dxa"/>
            <w:vAlign w:val="center"/>
          </w:tcPr>
          <w:p>
            <w:pPr>
              <w:adjustRightInd w:val="0"/>
              <w:snapToGrid w:val="0"/>
              <w:jc w:val="center"/>
              <w:rPr>
                <w:rFonts w:cs="Times New Roman"/>
              </w:rPr>
            </w:pPr>
            <w:r>
              <w:rPr>
                <w:rFonts w:ascii="Times New Roman" w:hAnsi="Times New Roman" w:cs="Times New Roman"/>
              </w:rPr>
              <w:t>重金属总量</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QB/T 4340</w:t>
            </w:r>
            <w:r>
              <w:rPr>
                <w:rFonts w:hint="default" w:ascii="Times New Roman" w:hAnsi="Times New Roman" w:cs="Times New Roman"/>
                <w:lang w:val="en-US" w:eastAsia="zh-CN"/>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40" w:type="dxa"/>
            <w:vAlign w:val="center"/>
          </w:tcPr>
          <w:p>
            <w:pPr>
              <w:jc w:val="center"/>
              <w:rPr>
                <w:rFonts w:cs="Times New Roman"/>
              </w:rPr>
            </w:pPr>
            <w:r>
              <w:rPr>
                <w:rFonts w:cs="Times New Roman"/>
              </w:rPr>
              <w:t>1</w:t>
            </w:r>
            <w:r>
              <w:rPr>
                <w:rFonts w:hint="eastAsia" w:cs="Times New Roman"/>
                <w:lang w:val="en-US" w:eastAsia="zh-CN"/>
              </w:rPr>
              <w:t>2</w:t>
            </w:r>
          </w:p>
        </w:tc>
        <w:tc>
          <w:tcPr>
            <w:tcW w:w="3495" w:type="dxa"/>
            <w:vAlign w:val="center"/>
          </w:tcPr>
          <w:p>
            <w:pPr>
              <w:jc w:val="center"/>
              <w:rPr>
                <w:rFonts w:cs="Times New Roman"/>
              </w:rPr>
            </w:pPr>
            <w:r>
              <w:rPr>
                <w:rFonts w:cs="Times New Roman"/>
              </w:rPr>
              <w:t>邻苯二甲酸酯</w:t>
            </w:r>
          </w:p>
        </w:tc>
        <w:tc>
          <w:tcPr>
            <w:tcW w:w="2110" w:type="dxa"/>
            <w:vAlign w:val="center"/>
          </w:tcPr>
          <w:p>
            <w:pPr>
              <w:jc w:val="center"/>
              <w:rPr>
                <w:rFonts w:hint="default" w:ascii="Times New Roman" w:hAnsi="Times New Roman" w:cs="Times New Roman"/>
                <w:lang w:val="en-US" w:eastAsia="zh-CN"/>
              </w:rPr>
            </w:pPr>
            <w:r>
              <w:rPr>
                <w:rFonts w:hint="default" w:ascii="Times New Roman" w:hAnsi="Times New Roman" w:cs="Times New Roman"/>
              </w:rPr>
              <w:t>GB 30585</w:t>
            </w:r>
            <w:r>
              <w:rPr>
                <w:rFonts w:hint="default" w:ascii="Times New Roman" w:hAnsi="Times New Roman" w:cs="Times New Roman"/>
                <w:lang w:val="en-US" w:eastAsia="zh-CN"/>
              </w:rPr>
              <w:t>—2014</w:t>
            </w:r>
          </w:p>
          <w:p>
            <w:pPr>
              <w:jc w:val="center"/>
              <w:rPr>
                <w:rFonts w:hint="default" w:ascii="Times New Roman" w:hAnsi="Times New Roman" w:eastAsia="宋体" w:cs="Times New Roman"/>
                <w:kern w:val="2"/>
                <w:sz w:val="21"/>
                <w:szCs w:val="21"/>
                <w:lang w:val="en-US" w:eastAsia="zh-CN" w:bidi="ar-SA"/>
              </w:rPr>
            </w:pPr>
            <w:bookmarkStart w:id="4" w:name="OLE_LINK6"/>
            <w:r>
              <w:rPr>
                <w:rFonts w:hint="default" w:ascii="Times New Roman" w:hAnsi="Times New Roman" w:cs="Times New Roman"/>
              </w:rPr>
              <w:t>GB 30585</w:t>
            </w:r>
            <w:r>
              <w:rPr>
                <w:rFonts w:hint="default" w:ascii="Times New Roman" w:hAnsi="Times New Roman" w:cs="Times New Roman"/>
                <w:lang w:val="en-US" w:eastAsia="zh-CN"/>
              </w:rPr>
              <w:t>—2024</w:t>
            </w:r>
            <w:bookmarkEnd w:id="4"/>
          </w:p>
        </w:tc>
        <w:tc>
          <w:tcPr>
            <w:tcW w:w="2113"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ISO/TS 16181</w:t>
            </w:r>
            <w:r>
              <w:rPr>
                <w:rFonts w:hint="default" w:ascii="Times New Roman" w:hAnsi="Times New Roman" w:cs="Times New Roman"/>
                <w:lang w:val="en-US" w:eastAsia="zh-CN"/>
              </w:rPr>
              <w:t>—2011</w:t>
            </w:r>
          </w:p>
          <w:p>
            <w:pPr>
              <w:jc w:val="center"/>
              <w:rPr>
                <w:rFonts w:hint="default" w:ascii="Times New Roman" w:hAnsi="Times New Roman" w:cs="Times New Roman"/>
                <w:lang w:val="en-US"/>
              </w:rPr>
            </w:pPr>
            <w:r>
              <w:rPr>
                <w:rFonts w:hint="default" w:ascii="Times New Roman" w:hAnsi="Times New Roman" w:eastAsia="宋体" w:cs="Times New Roman"/>
                <w:kern w:val="2"/>
                <w:sz w:val="21"/>
                <w:szCs w:val="21"/>
                <w:lang w:val="en-US" w:eastAsia="zh-CN" w:bidi="ar-SA"/>
              </w:rPr>
              <w:t>GB/T 32440.1</w:t>
            </w:r>
            <w:r>
              <w:rPr>
                <w:rFonts w:hint="default" w:ascii="Times New Roman" w:hAnsi="Times New Roman" w:cs="Times New Roman"/>
                <w:kern w:val="2"/>
                <w:sz w:val="21"/>
                <w:szCs w:val="21"/>
                <w:lang w:val="en-US" w:eastAsia="zh-CN" w:bidi="ar-SA"/>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 w:hRule="atLeast"/>
        </w:trPr>
        <w:tc>
          <w:tcPr>
            <w:tcW w:w="1240" w:type="dxa"/>
            <w:vAlign w:val="center"/>
          </w:tcPr>
          <w:p>
            <w:pPr>
              <w:jc w:val="center"/>
              <w:rPr>
                <w:rFonts w:cs="Times New Roman"/>
              </w:rPr>
            </w:pPr>
            <w:r>
              <w:rPr>
                <w:rFonts w:cs="Times New Roman"/>
              </w:rPr>
              <w:t>1</w:t>
            </w:r>
            <w:r>
              <w:rPr>
                <w:rFonts w:hint="eastAsia" w:cs="Times New Roman"/>
                <w:lang w:val="en-US" w:eastAsia="zh-CN"/>
              </w:rPr>
              <w:t>3</w:t>
            </w:r>
          </w:p>
        </w:tc>
        <w:tc>
          <w:tcPr>
            <w:tcW w:w="3495" w:type="dxa"/>
            <w:vAlign w:val="center"/>
          </w:tcPr>
          <w:p>
            <w:pPr>
              <w:jc w:val="center"/>
              <w:rPr>
                <w:rFonts w:cs="Times New Roman"/>
              </w:rPr>
            </w:pPr>
            <w:r>
              <w:rPr>
                <w:rFonts w:cs="Times New Roman"/>
              </w:rPr>
              <w:t>外底耐磨性能</w:t>
            </w:r>
          </w:p>
        </w:tc>
        <w:tc>
          <w:tcPr>
            <w:tcW w:w="2110"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color w:val="000000"/>
              </w:rPr>
              <w:t>QB/T 4331</w:t>
            </w:r>
            <w:r>
              <w:rPr>
                <w:rFonts w:hint="default" w:ascii="Times New Roman" w:hAnsi="Times New Roman" w:cs="Times New Roman"/>
                <w:color w:val="000000"/>
                <w:lang w:val="en-US" w:eastAsia="zh-CN"/>
              </w:rPr>
              <w:t>—2021</w:t>
            </w:r>
          </w:p>
        </w:tc>
        <w:tc>
          <w:tcPr>
            <w:tcW w:w="2113" w:type="dxa"/>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GB/T 3903.2</w:t>
            </w:r>
            <w:r>
              <w:rPr>
                <w:rFonts w:hint="default" w:ascii="Times New Roman" w:hAnsi="Times New Roman" w:cs="Times New Roman"/>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 w:hRule="atLeast"/>
        </w:trPr>
        <w:tc>
          <w:tcPr>
            <w:tcW w:w="1240" w:type="dxa"/>
            <w:vAlign w:val="center"/>
          </w:tcPr>
          <w:p>
            <w:pPr>
              <w:jc w:val="center"/>
              <w:rPr>
                <w:rFonts w:hint="default" w:eastAsia="宋体" w:cs="Times New Roman"/>
                <w:lang w:val="en-US" w:eastAsia="zh-CN"/>
              </w:rPr>
            </w:pPr>
            <w:r>
              <w:rPr>
                <w:rFonts w:hint="eastAsia" w:cs="Times New Roman"/>
                <w:lang w:val="en-US" w:eastAsia="zh-CN"/>
              </w:rPr>
              <w:t>14</w:t>
            </w:r>
          </w:p>
        </w:tc>
        <w:tc>
          <w:tcPr>
            <w:tcW w:w="3495" w:type="dxa"/>
            <w:vAlign w:val="center"/>
          </w:tcPr>
          <w:p>
            <w:pPr>
              <w:adjustRightInd w:val="0"/>
              <w:snapToGrid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含氯苯酚</w:t>
            </w:r>
          </w:p>
        </w:tc>
        <w:tc>
          <w:tcPr>
            <w:tcW w:w="2110" w:type="dxa"/>
            <w:vAlign w:val="center"/>
          </w:tcPr>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18414.1</w:t>
            </w:r>
            <w:r>
              <w:rPr>
                <w:rFonts w:hint="default" w:ascii="Times New Roman" w:hAnsi="Times New Roman" w:cs="Times New Roman"/>
                <w:kern w:val="2"/>
                <w:sz w:val="21"/>
                <w:szCs w:val="21"/>
                <w:lang w:val="en-US" w:eastAsia="zh-CN" w:bidi="ar-SA"/>
              </w:rPr>
              <w:t>—2006</w:t>
            </w:r>
          </w:p>
          <w:p>
            <w:pPr>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kern w:val="2"/>
                <w:sz w:val="21"/>
                <w:szCs w:val="21"/>
                <w:lang w:val="en-US" w:eastAsia="zh-CN" w:bidi="ar-SA"/>
              </w:rPr>
              <w:t>GB/T 22808—2021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 w:hRule="atLeast"/>
        </w:trPr>
        <w:tc>
          <w:tcPr>
            <w:tcW w:w="1240" w:type="dxa"/>
            <w:vAlign w:val="center"/>
          </w:tcPr>
          <w:p>
            <w:pPr>
              <w:jc w:val="center"/>
              <w:rPr>
                <w:rFonts w:hint="default" w:eastAsia="宋体" w:cs="Times New Roman"/>
                <w:lang w:val="en-US" w:eastAsia="zh-CN"/>
              </w:rPr>
            </w:pPr>
            <w:r>
              <w:rPr>
                <w:rFonts w:hint="eastAsia" w:cs="Times New Roman"/>
                <w:lang w:val="en-US" w:eastAsia="zh-CN"/>
              </w:rPr>
              <w:t>15</w:t>
            </w:r>
          </w:p>
        </w:tc>
        <w:tc>
          <w:tcPr>
            <w:tcW w:w="3495" w:type="dxa"/>
            <w:vAlign w:val="center"/>
          </w:tcPr>
          <w:p>
            <w:pPr>
              <w:adjustRightInd w:val="0"/>
              <w:snapToGrid w:val="0"/>
              <w:jc w:val="center"/>
              <w:rPr>
                <w:rFonts w:hint="default" w:ascii="Times New Roman" w:hAnsi="Times New Roman" w:eastAsia="宋体" w:cs="Times New Roman"/>
                <w:kern w:val="2"/>
                <w:sz w:val="21"/>
                <w:szCs w:val="21"/>
                <w:lang w:val="en-US" w:eastAsia="zh-CN" w:bidi="ar-SA"/>
              </w:rPr>
            </w:pPr>
            <w:r>
              <w:rPr>
                <w:rFonts w:hint="eastAsia" w:cs="Times New Roman"/>
                <w:lang w:eastAsia="zh-CN"/>
              </w:rPr>
              <w:t>短链氯化石蜡</w:t>
            </w:r>
          </w:p>
        </w:tc>
        <w:tc>
          <w:tcPr>
            <w:tcW w:w="2110"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30585</w:t>
            </w:r>
            <w:r>
              <w:rPr>
                <w:rFonts w:hint="default" w:ascii="Times New Roman" w:hAnsi="Times New Roman" w:cs="Times New Roman"/>
                <w:lang w:val="en-US" w:eastAsia="zh-CN"/>
              </w:rPr>
              <w:t>—2024</w:t>
            </w:r>
          </w:p>
        </w:tc>
        <w:tc>
          <w:tcPr>
            <w:tcW w:w="2113" w:type="dxa"/>
            <w:vAlign w:val="center"/>
          </w:tcPr>
          <w:p>
            <w:pPr>
              <w:adjustRightInd w:val="0"/>
              <w:snapToGrid w:val="0"/>
              <w:jc w:val="center"/>
              <w:rPr>
                <w:rFonts w:hint="default" w:ascii="Times New Roman" w:hAnsi="Times New Roman" w:eastAsia="宋体" w:cs="Times New Roman"/>
                <w:lang w:val="en-US" w:eastAsia="zh-CN"/>
              </w:rPr>
            </w:pPr>
            <w:r>
              <w:rPr>
                <w:rFonts w:hint="default" w:ascii="Times New Roman" w:hAnsi="Times New Roman" w:cs="Times New Roman"/>
              </w:rPr>
              <w:t>GB/T 40263</w:t>
            </w:r>
            <w:r>
              <w:rPr>
                <w:rFonts w:hint="default" w:ascii="Times New Roman" w:hAnsi="Times New Roman" w:cs="Times New Roman"/>
                <w:lang w:val="en-US" w:eastAsia="zh-CN"/>
              </w:rPr>
              <w:t>—2021</w:t>
            </w:r>
          </w:p>
          <w:p>
            <w:pPr>
              <w:adjustRightInd w:val="0"/>
              <w:snapToGrid w:val="0"/>
              <w:jc w:val="center"/>
              <w:rPr>
                <w:rFonts w:hint="default" w:ascii="Times New Roman" w:hAnsi="Times New Roman" w:eastAsia="宋体" w:cs="Times New Roman"/>
                <w:lang w:val="en-US" w:eastAsia="zh-CN"/>
              </w:rPr>
            </w:pPr>
            <w:r>
              <w:rPr>
                <w:rFonts w:hint="default" w:ascii="Times New Roman" w:hAnsi="Times New Roman" w:cs="Times New Roman"/>
              </w:rPr>
              <w:t>GB/T 38405</w:t>
            </w:r>
            <w:r>
              <w:rPr>
                <w:rFonts w:hint="default" w:ascii="Times New Roman" w:hAnsi="Times New Roman" w:cs="Times New Roman"/>
                <w:lang w:val="en-US" w:eastAsia="zh-CN"/>
              </w:rPr>
              <w:t>—2019</w:t>
            </w:r>
          </w:p>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rPr>
              <w:t>SN/T 3814</w:t>
            </w:r>
            <w:r>
              <w:rPr>
                <w:rFonts w:hint="default" w:ascii="Times New Roman" w:hAnsi="Times New Roman" w:cs="Times New Roman"/>
                <w:lang w:val="en-US" w:eastAsia="zh-CN"/>
              </w:rPr>
              <w:t>—2014</w:t>
            </w:r>
          </w:p>
        </w:tc>
      </w:tr>
    </w:tbl>
    <w:p>
      <w:pPr>
        <w:snapToGrid w:val="0"/>
        <w:spacing w:line="440" w:lineRule="exact"/>
        <w:ind w:firstLine="420" w:firstLineChars="200"/>
        <w:rPr>
          <w:rFonts w:cs="Times New Roman"/>
          <w:color w:val="000000"/>
        </w:rPr>
      </w:pPr>
      <w:r>
        <w:rPr>
          <w:rFonts w:cs="Times New Roman"/>
          <w:color w:val="000000"/>
        </w:rPr>
        <w:t>执行企业标准、团体标准、地方标准的产品，检验项目参照上述内容执行。</w:t>
      </w:r>
    </w:p>
    <w:p>
      <w:pPr>
        <w:snapToGrid w:val="0"/>
        <w:spacing w:line="440" w:lineRule="exact"/>
        <w:ind w:firstLine="420" w:firstLineChars="200"/>
        <w:rPr>
          <w:rFonts w:cs="Times New Roman"/>
          <w:color w:val="000000"/>
        </w:rPr>
      </w:pPr>
      <w:r>
        <w:rPr>
          <w:rFonts w:cs="Times New Roman"/>
          <w:color w:val="000000"/>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cs="Times New Roman"/>
          <w:color w:val="000000"/>
        </w:rPr>
      </w:pPr>
    </w:p>
    <w:p>
      <w:pPr>
        <w:spacing w:line="440" w:lineRule="exact"/>
        <w:rPr>
          <w:rFonts w:eastAsia="黑体" w:cs="Times New Roman"/>
          <w:color w:val="000000"/>
        </w:rPr>
      </w:pPr>
      <w:r>
        <w:rPr>
          <w:rFonts w:eastAsia="黑体" w:cs="Times New Roman"/>
          <w:color w:val="000000"/>
        </w:rPr>
        <w:t>3 判定规则</w:t>
      </w:r>
    </w:p>
    <w:p>
      <w:pPr>
        <w:snapToGrid w:val="0"/>
        <w:spacing w:line="440" w:lineRule="exact"/>
        <w:rPr>
          <w:rFonts w:cs="Times New Roman"/>
          <w:color w:val="000000"/>
        </w:rPr>
      </w:pPr>
      <w:r>
        <w:rPr>
          <w:rFonts w:cs="Times New Roman"/>
          <w:color w:val="000000"/>
        </w:rPr>
        <w:t>3.1依据标准</w:t>
      </w:r>
    </w:p>
    <w:p>
      <w:pPr>
        <w:snapToGrid w:val="0"/>
        <w:spacing w:line="440" w:lineRule="exact"/>
        <w:ind w:firstLine="420" w:firstLineChars="200"/>
        <w:rPr>
          <w:rFonts w:cs="Times New Roman"/>
          <w:color w:val="000000"/>
        </w:rPr>
      </w:pPr>
      <w:r>
        <w:rPr>
          <w:rFonts w:cs="Times New Roman"/>
          <w:color w:val="000000"/>
        </w:rPr>
        <w:t>GB 30585</w:t>
      </w:r>
      <w:r>
        <w:t>—</w:t>
      </w:r>
      <w:r>
        <w:rPr>
          <w:rFonts w:hint="eastAsia" w:cs="Times New Roman"/>
          <w:color w:val="000000"/>
          <w:lang w:val="en-US" w:eastAsia="zh-CN"/>
        </w:rPr>
        <w:t>2014</w:t>
      </w:r>
      <w:r>
        <w:rPr>
          <w:rFonts w:cs="Times New Roman"/>
          <w:color w:val="000000"/>
        </w:rPr>
        <w:t xml:space="preserve"> 儿童鞋安全技术规范</w:t>
      </w:r>
    </w:p>
    <w:p>
      <w:pPr>
        <w:adjustRightInd w:val="0"/>
        <w:snapToGrid w:val="0"/>
        <w:spacing w:line="440" w:lineRule="exact"/>
        <w:ind w:firstLine="420" w:firstLineChars="200"/>
        <w:rPr>
          <w:rFonts w:cs="Times New Roman"/>
          <w:color w:val="000000"/>
        </w:rPr>
      </w:pPr>
      <w:r>
        <w:rPr>
          <w:rFonts w:ascii="Times New Roman" w:hAnsi="Times New Roman" w:cs="Times New Roman"/>
        </w:rPr>
        <w:t>GB 30585</w:t>
      </w:r>
      <w:r>
        <w:t>—</w:t>
      </w:r>
      <w:r>
        <w:rPr>
          <w:rFonts w:ascii="Times New Roman" w:hAnsi="Times New Roman" w:cs="Times New Roman"/>
        </w:rPr>
        <w:t>20</w:t>
      </w:r>
      <w:r>
        <w:rPr>
          <w:rFonts w:hint="eastAsia" w:cs="Times New Roman"/>
          <w:lang w:val="en-US" w:eastAsia="zh-CN"/>
        </w:rPr>
        <w:t>2</w:t>
      </w:r>
      <w:r>
        <w:rPr>
          <w:rFonts w:ascii="Times New Roman" w:hAnsi="Times New Roman" w:cs="Times New Roman"/>
        </w:rPr>
        <w:t>4 童鞋安全技术规范</w:t>
      </w:r>
    </w:p>
    <w:p>
      <w:pPr>
        <w:snapToGrid w:val="0"/>
        <w:spacing w:line="440" w:lineRule="exact"/>
        <w:ind w:firstLine="420" w:firstLineChars="200"/>
        <w:rPr>
          <w:rFonts w:cs="Times New Roman"/>
          <w:color w:val="000000"/>
        </w:rPr>
      </w:pPr>
      <w:r>
        <w:rPr>
          <w:rFonts w:cs="Times New Roman"/>
          <w:color w:val="000000"/>
        </w:rPr>
        <w:t>QB/T 4331</w:t>
      </w:r>
      <w:r>
        <w:t>—</w:t>
      </w:r>
      <w:r>
        <w:rPr>
          <w:rFonts w:hint="eastAsia" w:cs="Times New Roman"/>
          <w:color w:val="000000"/>
          <w:lang w:val="en-US" w:eastAsia="zh-CN"/>
        </w:rPr>
        <w:t>2021</w:t>
      </w:r>
      <w:r>
        <w:rPr>
          <w:rFonts w:cs="Times New Roman"/>
          <w:color w:val="000000"/>
        </w:rPr>
        <w:t xml:space="preserve"> 儿童旅游鞋</w:t>
      </w:r>
    </w:p>
    <w:p>
      <w:pPr>
        <w:snapToGrid w:val="0"/>
        <w:spacing w:line="440" w:lineRule="exact"/>
        <w:ind w:firstLine="420" w:firstLineChars="200"/>
        <w:rPr>
          <w:rFonts w:cs="Times New Roman"/>
          <w:color w:val="000000"/>
        </w:rPr>
      </w:pPr>
      <w:r>
        <w:rPr>
          <w:rFonts w:cs="Times New Roman"/>
          <w:color w:val="000000"/>
        </w:rPr>
        <w:t>现行有效的企业标准、团体标准、地方标准及产品明示质量要求</w:t>
      </w:r>
    </w:p>
    <w:p>
      <w:pPr>
        <w:snapToGrid w:val="0"/>
        <w:spacing w:line="440" w:lineRule="exact"/>
        <w:rPr>
          <w:rFonts w:cs="Times New Roman"/>
          <w:color w:val="000000"/>
        </w:rPr>
      </w:pPr>
      <w:r>
        <w:rPr>
          <w:rFonts w:cs="Times New Roman"/>
          <w:color w:val="000000"/>
        </w:rPr>
        <w:t>3.2判定原则</w:t>
      </w:r>
    </w:p>
    <w:p>
      <w:pPr>
        <w:snapToGrid w:val="0"/>
        <w:spacing w:line="440" w:lineRule="exact"/>
        <w:ind w:firstLine="420" w:firstLineChars="200"/>
        <w:rPr>
          <w:rFonts w:cs="Times New Roman"/>
          <w:color w:val="000000"/>
        </w:rPr>
      </w:pPr>
      <w:r>
        <w:t>经检验，检验项目全部合格，判定为被抽查产品所检项目未发现不合格；检验项目中任一项或一项以上不合格，判定为被抽查产品不合格。</w:t>
      </w:r>
      <w:r>
        <w:rPr>
          <w:rFonts w:cs="Times New Roman"/>
          <w:color w:val="000000"/>
        </w:rPr>
        <w:t>若被检产品明示的质量要求高于本细则中检验项目依据的标准要求时，应按被检产品明示的质量要求判定。</w:t>
      </w:r>
    </w:p>
    <w:p>
      <w:pPr>
        <w:snapToGrid w:val="0"/>
        <w:spacing w:line="440" w:lineRule="exact"/>
        <w:ind w:firstLine="420" w:firstLineChars="200"/>
        <w:rPr>
          <w:rFonts w:cs="Times New Roman"/>
          <w:color w:val="000000"/>
        </w:rPr>
      </w:pPr>
      <w:r>
        <w:rPr>
          <w:rFonts w:cs="Times New Roman"/>
          <w:color w:val="000000"/>
        </w:rPr>
        <w:t>若被检产品明示的质量要求低于本细则中检验项目依据的强制性标准要求时，应按照强制性标准要求判定。</w:t>
      </w:r>
    </w:p>
    <w:p>
      <w:pPr>
        <w:snapToGrid w:val="0"/>
        <w:spacing w:line="440" w:lineRule="exact"/>
        <w:ind w:firstLine="420" w:firstLineChars="200"/>
        <w:rPr>
          <w:rFonts w:cs="Times New Roman"/>
          <w:color w:val="000000"/>
        </w:rPr>
      </w:pPr>
      <w:r>
        <w:rPr>
          <w:rFonts w:cs="Times New Roman"/>
          <w:color w:val="000000"/>
        </w:rPr>
        <w:t>若被检产品明示的质量要求低于或包含本细则中检验项目依据的推荐性标准要求时，应以被检产品明示的质量要求判定。</w:t>
      </w:r>
      <w:bookmarkStart w:id="5" w:name="_GoBack"/>
      <w:bookmarkEnd w:id="5"/>
    </w:p>
    <w:p>
      <w:pPr>
        <w:snapToGrid w:val="0"/>
        <w:spacing w:line="440" w:lineRule="exact"/>
        <w:ind w:firstLine="420" w:firstLineChars="200"/>
        <w:rPr>
          <w:rFonts w:cs="Times New Roman"/>
          <w:color w:val="000000"/>
        </w:rPr>
      </w:pPr>
      <w:r>
        <w:rPr>
          <w:rFonts w:cs="Times New Roman"/>
          <w:color w:val="000000"/>
        </w:rPr>
        <w:t>若被检产品明示的质量要求缺少本细则中检验项目依据的强制性标准要求时，应按照强制性标准要求判定。</w:t>
      </w:r>
    </w:p>
    <w:p>
      <w:pPr>
        <w:snapToGrid w:val="0"/>
        <w:spacing w:line="440" w:lineRule="exact"/>
        <w:ind w:firstLine="420" w:firstLineChars="200"/>
        <w:rPr>
          <w:rFonts w:cs="Times New Roman"/>
          <w:color w:val="000000"/>
        </w:rPr>
      </w:pPr>
      <w:r>
        <w:rPr>
          <w:rFonts w:cs="Times New Roman"/>
          <w:color w:val="000000"/>
        </w:rPr>
        <w:t>若被检产品明示的质量要求缺少本细则中检验项目依据的推荐性标准要求时，该项目不参与判定。</w:t>
      </w:r>
    </w:p>
    <w:p>
      <w:pPr>
        <w:snapToGrid w:val="0"/>
        <w:spacing w:line="440" w:lineRule="exact"/>
        <w:ind w:firstLine="420" w:firstLineChars="200"/>
        <w:rPr>
          <w:rFonts w:cs="Times New Roman"/>
          <w:color w:val="000000"/>
        </w:rPr>
      </w:pPr>
    </w:p>
    <w:sectPr>
      <w:headerReference r:id="rId4" w:type="default"/>
      <w:footerReference r:id="rId5"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r>
      <w:rPr>
        <w:rFonts w:ascii="Calibri" w:hAnsi="Calibri" w:eastAsia="宋体" w:cs="Times New Roman"/>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TkwMjg2MzM2YzU0YmM3MzcyYTY5NmY3NGMzOTdhZjQifQ=="/>
  </w:docVars>
  <w:rsids>
    <w:rsidRoot w:val="00F36ED1"/>
    <w:rsid w:val="00001293"/>
    <w:rsid w:val="0000187A"/>
    <w:rsid w:val="00001C0D"/>
    <w:rsid w:val="00005C11"/>
    <w:rsid w:val="0001088B"/>
    <w:rsid w:val="000352D0"/>
    <w:rsid w:val="000415E5"/>
    <w:rsid w:val="000431DB"/>
    <w:rsid w:val="000509D2"/>
    <w:rsid w:val="00054B69"/>
    <w:rsid w:val="00055413"/>
    <w:rsid w:val="00055DE5"/>
    <w:rsid w:val="00056BCB"/>
    <w:rsid w:val="00063BCF"/>
    <w:rsid w:val="0006521C"/>
    <w:rsid w:val="000861AF"/>
    <w:rsid w:val="000875B9"/>
    <w:rsid w:val="000B1610"/>
    <w:rsid w:val="000C00DA"/>
    <w:rsid w:val="000F2E49"/>
    <w:rsid w:val="001303BF"/>
    <w:rsid w:val="001460B3"/>
    <w:rsid w:val="001767E9"/>
    <w:rsid w:val="001A34BC"/>
    <w:rsid w:val="001C1AB6"/>
    <w:rsid w:val="001D2E4D"/>
    <w:rsid w:val="001E4A66"/>
    <w:rsid w:val="001E6EC2"/>
    <w:rsid w:val="001F1E03"/>
    <w:rsid w:val="00207DDE"/>
    <w:rsid w:val="0021566E"/>
    <w:rsid w:val="002178A8"/>
    <w:rsid w:val="00217FDE"/>
    <w:rsid w:val="00262F16"/>
    <w:rsid w:val="00270A66"/>
    <w:rsid w:val="00270D31"/>
    <w:rsid w:val="0027124E"/>
    <w:rsid w:val="002822F5"/>
    <w:rsid w:val="00282F8A"/>
    <w:rsid w:val="00284ECC"/>
    <w:rsid w:val="002B1F57"/>
    <w:rsid w:val="002B7946"/>
    <w:rsid w:val="002C381D"/>
    <w:rsid w:val="002D0B5F"/>
    <w:rsid w:val="002D349A"/>
    <w:rsid w:val="003037D4"/>
    <w:rsid w:val="00305277"/>
    <w:rsid w:val="00315223"/>
    <w:rsid w:val="00327FA2"/>
    <w:rsid w:val="003403F7"/>
    <w:rsid w:val="00344139"/>
    <w:rsid w:val="00351561"/>
    <w:rsid w:val="00353ADC"/>
    <w:rsid w:val="003822C9"/>
    <w:rsid w:val="003A6B0F"/>
    <w:rsid w:val="003B0AB0"/>
    <w:rsid w:val="003C482A"/>
    <w:rsid w:val="003D5B66"/>
    <w:rsid w:val="00402DB0"/>
    <w:rsid w:val="004035D4"/>
    <w:rsid w:val="004142E8"/>
    <w:rsid w:val="00434965"/>
    <w:rsid w:val="00441632"/>
    <w:rsid w:val="00450B29"/>
    <w:rsid w:val="00455A8B"/>
    <w:rsid w:val="004876C6"/>
    <w:rsid w:val="0049254B"/>
    <w:rsid w:val="004B2ACE"/>
    <w:rsid w:val="004C114F"/>
    <w:rsid w:val="004D1840"/>
    <w:rsid w:val="005015BC"/>
    <w:rsid w:val="00505D77"/>
    <w:rsid w:val="00510010"/>
    <w:rsid w:val="00523629"/>
    <w:rsid w:val="00537DD4"/>
    <w:rsid w:val="00541EB4"/>
    <w:rsid w:val="00541F7F"/>
    <w:rsid w:val="0054781A"/>
    <w:rsid w:val="005544B1"/>
    <w:rsid w:val="00562376"/>
    <w:rsid w:val="00570007"/>
    <w:rsid w:val="00570930"/>
    <w:rsid w:val="00576918"/>
    <w:rsid w:val="00586181"/>
    <w:rsid w:val="00586E5B"/>
    <w:rsid w:val="005A1F22"/>
    <w:rsid w:val="005B6FA8"/>
    <w:rsid w:val="005C0083"/>
    <w:rsid w:val="005D2E1D"/>
    <w:rsid w:val="005D515B"/>
    <w:rsid w:val="005F61BD"/>
    <w:rsid w:val="00604F82"/>
    <w:rsid w:val="0061064E"/>
    <w:rsid w:val="00614932"/>
    <w:rsid w:val="00614C02"/>
    <w:rsid w:val="00617E0E"/>
    <w:rsid w:val="00621FE6"/>
    <w:rsid w:val="00625878"/>
    <w:rsid w:val="00636A19"/>
    <w:rsid w:val="006426CA"/>
    <w:rsid w:val="00643DBC"/>
    <w:rsid w:val="00657DB2"/>
    <w:rsid w:val="006621CB"/>
    <w:rsid w:val="00662D57"/>
    <w:rsid w:val="00666D1C"/>
    <w:rsid w:val="006970D8"/>
    <w:rsid w:val="006A27E1"/>
    <w:rsid w:val="006A7BEC"/>
    <w:rsid w:val="006B4C3D"/>
    <w:rsid w:val="006B5821"/>
    <w:rsid w:val="006B7236"/>
    <w:rsid w:val="006C027D"/>
    <w:rsid w:val="006D6910"/>
    <w:rsid w:val="006E2F84"/>
    <w:rsid w:val="006E563C"/>
    <w:rsid w:val="007029DD"/>
    <w:rsid w:val="007108ED"/>
    <w:rsid w:val="00736684"/>
    <w:rsid w:val="007368D3"/>
    <w:rsid w:val="00746135"/>
    <w:rsid w:val="0074748B"/>
    <w:rsid w:val="00750E9F"/>
    <w:rsid w:val="00757908"/>
    <w:rsid w:val="00767B9F"/>
    <w:rsid w:val="007722CE"/>
    <w:rsid w:val="00775A8C"/>
    <w:rsid w:val="00775BA7"/>
    <w:rsid w:val="007828C4"/>
    <w:rsid w:val="007A04F9"/>
    <w:rsid w:val="007A2739"/>
    <w:rsid w:val="007B2BA7"/>
    <w:rsid w:val="007C0756"/>
    <w:rsid w:val="007C4BCD"/>
    <w:rsid w:val="007D1D55"/>
    <w:rsid w:val="007D4D38"/>
    <w:rsid w:val="007D7667"/>
    <w:rsid w:val="007E7665"/>
    <w:rsid w:val="00806A5F"/>
    <w:rsid w:val="0081168F"/>
    <w:rsid w:val="00822257"/>
    <w:rsid w:val="0082659F"/>
    <w:rsid w:val="008266F0"/>
    <w:rsid w:val="00835175"/>
    <w:rsid w:val="00835BEA"/>
    <w:rsid w:val="008663CC"/>
    <w:rsid w:val="0088200D"/>
    <w:rsid w:val="0088744F"/>
    <w:rsid w:val="00891ECA"/>
    <w:rsid w:val="008A54C0"/>
    <w:rsid w:val="008B0463"/>
    <w:rsid w:val="008B1F84"/>
    <w:rsid w:val="008B620F"/>
    <w:rsid w:val="008C2CE8"/>
    <w:rsid w:val="008D367F"/>
    <w:rsid w:val="008D6208"/>
    <w:rsid w:val="008D7B6E"/>
    <w:rsid w:val="0090035B"/>
    <w:rsid w:val="009066F4"/>
    <w:rsid w:val="00912972"/>
    <w:rsid w:val="00933BAA"/>
    <w:rsid w:val="009531E2"/>
    <w:rsid w:val="00976129"/>
    <w:rsid w:val="009811AD"/>
    <w:rsid w:val="009A7250"/>
    <w:rsid w:val="009B5451"/>
    <w:rsid w:val="009C32E3"/>
    <w:rsid w:val="009C3B14"/>
    <w:rsid w:val="009D1A6F"/>
    <w:rsid w:val="009E097A"/>
    <w:rsid w:val="009E11F2"/>
    <w:rsid w:val="009F0815"/>
    <w:rsid w:val="009F3A92"/>
    <w:rsid w:val="00A0341D"/>
    <w:rsid w:val="00A06647"/>
    <w:rsid w:val="00A07729"/>
    <w:rsid w:val="00A1485D"/>
    <w:rsid w:val="00A20FF5"/>
    <w:rsid w:val="00A34143"/>
    <w:rsid w:val="00A37337"/>
    <w:rsid w:val="00A52AB1"/>
    <w:rsid w:val="00A628FD"/>
    <w:rsid w:val="00A732C2"/>
    <w:rsid w:val="00A7575B"/>
    <w:rsid w:val="00A84F55"/>
    <w:rsid w:val="00A85A25"/>
    <w:rsid w:val="00A96519"/>
    <w:rsid w:val="00A96526"/>
    <w:rsid w:val="00AB41BA"/>
    <w:rsid w:val="00AC04A1"/>
    <w:rsid w:val="00AC11BF"/>
    <w:rsid w:val="00AD5808"/>
    <w:rsid w:val="00AF6ECE"/>
    <w:rsid w:val="00B17BE6"/>
    <w:rsid w:val="00B21A99"/>
    <w:rsid w:val="00B21F71"/>
    <w:rsid w:val="00B36376"/>
    <w:rsid w:val="00B43647"/>
    <w:rsid w:val="00B43AF2"/>
    <w:rsid w:val="00B52059"/>
    <w:rsid w:val="00B53C0A"/>
    <w:rsid w:val="00B5548D"/>
    <w:rsid w:val="00B60ECD"/>
    <w:rsid w:val="00B77EF6"/>
    <w:rsid w:val="00B84881"/>
    <w:rsid w:val="00B86B81"/>
    <w:rsid w:val="00B908E4"/>
    <w:rsid w:val="00B92D5A"/>
    <w:rsid w:val="00B94A05"/>
    <w:rsid w:val="00BA7BD2"/>
    <w:rsid w:val="00BD12EB"/>
    <w:rsid w:val="00BD2F76"/>
    <w:rsid w:val="00BF0D9A"/>
    <w:rsid w:val="00BF5AA6"/>
    <w:rsid w:val="00BF7229"/>
    <w:rsid w:val="00C00D0A"/>
    <w:rsid w:val="00C040C5"/>
    <w:rsid w:val="00C048BB"/>
    <w:rsid w:val="00C1724F"/>
    <w:rsid w:val="00C47220"/>
    <w:rsid w:val="00C54FB9"/>
    <w:rsid w:val="00CA1927"/>
    <w:rsid w:val="00CA7B15"/>
    <w:rsid w:val="00CB1490"/>
    <w:rsid w:val="00CB28F5"/>
    <w:rsid w:val="00CB5610"/>
    <w:rsid w:val="00CB683C"/>
    <w:rsid w:val="00CD0FB0"/>
    <w:rsid w:val="00CE1B26"/>
    <w:rsid w:val="00D10AC4"/>
    <w:rsid w:val="00D2092A"/>
    <w:rsid w:val="00D25227"/>
    <w:rsid w:val="00D322FC"/>
    <w:rsid w:val="00D411AB"/>
    <w:rsid w:val="00D4510D"/>
    <w:rsid w:val="00D606F3"/>
    <w:rsid w:val="00D61810"/>
    <w:rsid w:val="00D67F84"/>
    <w:rsid w:val="00D8102C"/>
    <w:rsid w:val="00D85C60"/>
    <w:rsid w:val="00D90125"/>
    <w:rsid w:val="00D94444"/>
    <w:rsid w:val="00D96410"/>
    <w:rsid w:val="00D979BC"/>
    <w:rsid w:val="00DA3690"/>
    <w:rsid w:val="00DC32F2"/>
    <w:rsid w:val="00DD1987"/>
    <w:rsid w:val="00DE645A"/>
    <w:rsid w:val="00DF15B6"/>
    <w:rsid w:val="00DF6187"/>
    <w:rsid w:val="00E02F83"/>
    <w:rsid w:val="00E167EC"/>
    <w:rsid w:val="00E32230"/>
    <w:rsid w:val="00E3588E"/>
    <w:rsid w:val="00E35D69"/>
    <w:rsid w:val="00E52759"/>
    <w:rsid w:val="00E53040"/>
    <w:rsid w:val="00E919D6"/>
    <w:rsid w:val="00E94A14"/>
    <w:rsid w:val="00EA2C53"/>
    <w:rsid w:val="00EB2602"/>
    <w:rsid w:val="00EC3375"/>
    <w:rsid w:val="00EC3954"/>
    <w:rsid w:val="00EE28FA"/>
    <w:rsid w:val="00EE5108"/>
    <w:rsid w:val="00EE6176"/>
    <w:rsid w:val="00EF2A4C"/>
    <w:rsid w:val="00EF5DC8"/>
    <w:rsid w:val="00F1416A"/>
    <w:rsid w:val="00F2063B"/>
    <w:rsid w:val="00F209F0"/>
    <w:rsid w:val="00F21366"/>
    <w:rsid w:val="00F36ED1"/>
    <w:rsid w:val="00F37E59"/>
    <w:rsid w:val="00F42DA6"/>
    <w:rsid w:val="00F77748"/>
    <w:rsid w:val="00FA3698"/>
    <w:rsid w:val="00FA59BD"/>
    <w:rsid w:val="00FC4DC2"/>
    <w:rsid w:val="00FE4C29"/>
    <w:rsid w:val="00FF3824"/>
    <w:rsid w:val="01A659F0"/>
    <w:rsid w:val="01FB29D4"/>
    <w:rsid w:val="07E51502"/>
    <w:rsid w:val="0AB95C94"/>
    <w:rsid w:val="0C2E430C"/>
    <w:rsid w:val="0CB96A02"/>
    <w:rsid w:val="114F50C5"/>
    <w:rsid w:val="116A4F48"/>
    <w:rsid w:val="1240481F"/>
    <w:rsid w:val="15EB7304"/>
    <w:rsid w:val="16663914"/>
    <w:rsid w:val="1C486E9E"/>
    <w:rsid w:val="22DD7FCD"/>
    <w:rsid w:val="23273029"/>
    <w:rsid w:val="23D0178C"/>
    <w:rsid w:val="257518C0"/>
    <w:rsid w:val="25983213"/>
    <w:rsid w:val="263A42CC"/>
    <w:rsid w:val="290B6214"/>
    <w:rsid w:val="2AD92814"/>
    <w:rsid w:val="2E2911CA"/>
    <w:rsid w:val="2EAD1754"/>
    <w:rsid w:val="33147223"/>
    <w:rsid w:val="379E16D5"/>
    <w:rsid w:val="37C751CD"/>
    <w:rsid w:val="37E44C00"/>
    <w:rsid w:val="38EB2AAF"/>
    <w:rsid w:val="393C4E1B"/>
    <w:rsid w:val="39DF4E3C"/>
    <w:rsid w:val="3C702497"/>
    <w:rsid w:val="40FE3750"/>
    <w:rsid w:val="432F110A"/>
    <w:rsid w:val="47A0336A"/>
    <w:rsid w:val="4984639D"/>
    <w:rsid w:val="4AC45777"/>
    <w:rsid w:val="4D515B76"/>
    <w:rsid w:val="4DFE58AF"/>
    <w:rsid w:val="504D144E"/>
    <w:rsid w:val="5D597D6D"/>
    <w:rsid w:val="5E0B1245"/>
    <w:rsid w:val="5F5A238C"/>
    <w:rsid w:val="66D040D0"/>
    <w:rsid w:val="6A633397"/>
    <w:rsid w:val="6AE125F6"/>
    <w:rsid w:val="6DE035B8"/>
    <w:rsid w:val="722564DD"/>
    <w:rsid w:val="73003536"/>
    <w:rsid w:val="73CE0DD7"/>
    <w:rsid w:val="75014F68"/>
    <w:rsid w:val="7A4911DC"/>
    <w:rsid w:val="7E715BFC"/>
    <w:rsid w:val="7ED81BF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nhideWhenUsed="0" w:uiPriority="99" w:semiHidden="0" w:name="heading 5"/>
    <w:lsdException w:qFormat="1" w:unhideWhenUsed="0" w:uiPriority="99" w:semiHidden="0"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name="Hyperlink"/>
    <w:lsdException w:qFormat="1" w:unhideWhenUsed="0" w:uiPriority="99" w:name="FollowedHyperlink"/>
    <w:lsdException w:qFormat="1" w:unhideWhenUsed="0" w:uiPriority="99"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link w:val="124"/>
    <w:qFormat/>
    <w:uiPriority w:val="9"/>
    <w:pPr>
      <w:keepNext/>
      <w:keepLines/>
      <w:spacing w:before="340" w:after="330" w:line="578" w:lineRule="auto"/>
      <w:outlineLvl w:val="0"/>
    </w:pPr>
    <w:rPr>
      <w:b/>
      <w:bCs/>
      <w:kern w:val="44"/>
      <w:sz w:val="44"/>
      <w:szCs w:val="44"/>
    </w:rPr>
  </w:style>
  <w:style w:type="paragraph" w:styleId="3">
    <w:name w:val="heading 3"/>
    <w:basedOn w:val="1"/>
    <w:next w:val="1"/>
    <w:qFormat/>
    <w:uiPriority w:val="9"/>
    <w:pPr>
      <w:spacing w:before="100" w:beforeAutospacing="1" w:after="100" w:afterAutospacing="1"/>
      <w:jc w:val="left"/>
      <w:outlineLvl w:val="2"/>
    </w:pPr>
    <w:rPr>
      <w:rFonts w:hint="eastAsia" w:ascii="宋体" w:hAnsi="宋体" w:cs="Times New Roman"/>
      <w:b/>
      <w:kern w:val="0"/>
      <w:sz w:val="27"/>
      <w:szCs w:val="27"/>
    </w:rPr>
  </w:style>
  <w:style w:type="paragraph" w:styleId="4">
    <w:name w:val="heading 5"/>
    <w:basedOn w:val="1"/>
    <w:next w:val="1"/>
    <w:link w:val="115"/>
    <w:qFormat/>
    <w:uiPriority w:val="99"/>
    <w:pPr>
      <w:widowControl/>
      <w:spacing w:before="100" w:beforeAutospacing="1" w:after="100" w:afterAutospacing="1"/>
      <w:jc w:val="left"/>
      <w:outlineLvl w:val="4"/>
    </w:pPr>
    <w:rPr>
      <w:rFonts w:ascii="宋体" w:hAnsi="宋体" w:cs="宋体"/>
      <w:b/>
      <w:bCs/>
      <w:kern w:val="0"/>
      <w:sz w:val="20"/>
      <w:szCs w:val="20"/>
    </w:rPr>
  </w:style>
  <w:style w:type="paragraph" w:styleId="5">
    <w:name w:val="heading 6"/>
    <w:basedOn w:val="1"/>
    <w:next w:val="1"/>
    <w:link w:val="120"/>
    <w:qFormat/>
    <w:uiPriority w:val="99"/>
    <w:pPr>
      <w:widowControl/>
      <w:spacing w:before="100" w:beforeAutospacing="1" w:after="100" w:afterAutospacing="1"/>
      <w:jc w:val="left"/>
      <w:outlineLvl w:val="5"/>
    </w:pPr>
    <w:rPr>
      <w:rFonts w:ascii="宋体" w:hAnsi="宋体" w:cs="宋体"/>
      <w:b/>
      <w:bCs/>
      <w:kern w:val="0"/>
      <w:sz w:val="15"/>
      <w:szCs w:val="15"/>
    </w:rPr>
  </w:style>
  <w:style w:type="character" w:default="1" w:styleId="12">
    <w:name w:val="Default Paragraph Font"/>
    <w:unhideWhenUsed/>
    <w:qFormat/>
    <w:uiPriority w:val="1"/>
  </w:style>
  <w:style w:type="table" w:default="1" w:styleId="18">
    <w:name w:val="Normal Table"/>
    <w:unhideWhenUsed/>
    <w:qFormat/>
    <w:uiPriority w:val="99"/>
    <w:tblPr>
      <w:tblStyle w:val="18"/>
      <w:tblLayout w:type="fixed"/>
      <w:tblCellMar>
        <w:top w:w="0" w:type="dxa"/>
        <w:left w:w="108" w:type="dxa"/>
        <w:bottom w:w="0" w:type="dxa"/>
        <w:right w:w="108" w:type="dxa"/>
      </w:tblCellMar>
    </w:tblPr>
    <w:tcPr>
      <w:textDirection w:val="lrTb"/>
    </w:tcPr>
  </w:style>
  <w:style w:type="paragraph" w:styleId="6">
    <w:name w:val="annotation subject"/>
    <w:basedOn w:val="7"/>
    <w:next w:val="7"/>
    <w:link w:val="121"/>
    <w:unhideWhenUsed/>
    <w:qFormat/>
    <w:uiPriority w:val="99"/>
    <w:rPr>
      <w:b/>
      <w:bCs/>
    </w:rPr>
  </w:style>
  <w:style w:type="paragraph" w:styleId="7">
    <w:name w:val="annotation text"/>
    <w:basedOn w:val="1"/>
    <w:link w:val="117"/>
    <w:qFormat/>
    <w:uiPriority w:val="0"/>
    <w:pPr>
      <w:jc w:val="left"/>
    </w:pPr>
  </w:style>
  <w:style w:type="paragraph" w:styleId="8">
    <w:name w:val="Balloon Text"/>
    <w:basedOn w:val="1"/>
    <w:link w:val="122"/>
    <w:unhideWhenUsed/>
    <w:qFormat/>
    <w:uiPriority w:val="99"/>
    <w:rPr>
      <w:sz w:val="18"/>
      <w:szCs w:val="18"/>
    </w:rPr>
  </w:style>
  <w:style w:type="paragraph" w:styleId="9">
    <w:name w:val="footer"/>
    <w:basedOn w:val="1"/>
    <w:link w:val="114"/>
    <w:unhideWhenUsed/>
    <w:qFormat/>
    <w:uiPriority w:val="99"/>
    <w:pPr>
      <w:tabs>
        <w:tab w:val="center" w:pos="4153"/>
        <w:tab w:val="right" w:pos="8306"/>
      </w:tabs>
      <w:snapToGrid w:val="0"/>
      <w:jc w:val="left"/>
    </w:pPr>
    <w:rPr>
      <w:rFonts w:ascii="Calibri" w:hAnsi="Calibri" w:cs="Times New Roman"/>
      <w:sz w:val="18"/>
      <w:szCs w:val="18"/>
    </w:rPr>
  </w:style>
  <w:style w:type="paragraph" w:styleId="10">
    <w:name w:val="header"/>
    <w:basedOn w:val="1"/>
    <w:link w:val="116"/>
    <w:unhideWhenUsed/>
    <w:qFormat/>
    <w:uiPriority w:val="99"/>
    <w:pPr>
      <w:pBdr>
        <w:bottom w:val="single" w:color="auto" w:sz="6" w:space="1"/>
      </w:pBdr>
      <w:tabs>
        <w:tab w:val="center" w:pos="4153"/>
        <w:tab w:val="right" w:pos="8306"/>
      </w:tabs>
      <w:snapToGrid w:val="0"/>
      <w:jc w:val="center"/>
    </w:pPr>
    <w:rPr>
      <w:rFonts w:ascii="Calibri" w:hAnsi="Calibri" w:cs="Times New Roman"/>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13">
    <w:name w:val="Strong"/>
    <w:qFormat/>
    <w:uiPriority w:val="99"/>
    <w:rPr>
      <w:b/>
      <w:bCs/>
    </w:rPr>
  </w:style>
  <w:style w:type="character" w:styleId="14">
    <w:name w:val="page number"/>
    <w:basedOn w:val="12"/>
    <w:unhideWhenUsed/>
    <w:qFormat/>
    <w:uiPriority w:val="99"/>
    <w:rPr/>
  </w:style>
  <w:style w:type="character" w:styleId="15">
    <w:name w:val="FollowedHyperlink"/>
    <w:semiHidden/>
    <w:qFormat/>
    <w:uiPriority w:val="99"/>
    <w:rPr>
      <w:color w:val="800080"/>
      <w:u w:val="single"/>
    </w:rPr>
  </w:style>
  <w:style w:type="character" w:styleId="16">
    <w:name w:val="Hyperlink"/>
    <w:semiHidden/>
    <w:qFormat/>
    <w:uiPriority w:val="99"/>
    <w:rPr>
      <w:color w:val="0000FF"/>
      <w:u w:val="single"/>
    </w:rPr>
  </w:style>
  <w:style w:type="character" w:styleId="17">
    <w:name w:val="annotation reference"/>
    <w:basedOn w:val="12"/>
    <w:unhideWhenUsed/>
    <w:qFormat/>
    <w:uiPriority w:val="99"/>
    <w:rPr>
      <w:sz w:val="21"/>
      <w:szCs w:val="21"/>
    </w:rPr>
  </w:style>
  <w:style w:type="paragraph" w:customStyle="1" w:styleId="19">
    <w:name w:val="middle-blue-line"/>
    <w:basedOn w:val="1"/>
    <w:qFormat/>
    <w:uiPriority w:val="99"/>
    <w:pPr>
      <w:widowControl/>
      <w:pBdr>
        <w:left w:val="single" w:color="ABD5EB" w:sz="6" w:space="0"/>
        <w:bottom w:val="single" w:color="ABD5EB" w:sz="6" w:space="3"/>
        <w:right w:val="single" w:color="ABD5EB" w:sz="6" w:space="0"/>
      </w:pBdr>
      <w:spacing w:before="100" w:beforeAutospacing="1" w:after="100" w:afterAutospacing="1"/>
      <w:jc w:val="left"/>
    </w:pPr>
    <w:rPr>
      <w:rFonts w:ascii="宋体" w:hAnsi="宋体" w:cs="宋体"/>
      <w:kern w:val="0"/>
      <w:sz w:val="24"/>
      <w:szCs w:val="24"/>
    </w:rPr>
  </w:style>
  <w:style w:type="paragraph" w:customStyle="1" w:styleId="20">
    <w:name w:val="l-blue-1"/>
    <w:basedOn w:val="1"/>
    <w:qFormat/>
    <w:uiPriority w:val="99"/>
    <w:pPr>
      <w:widowControl/>
      <w:spacing w:before="100" w:beforeAutospacing="1" w:after="100" w:afterAutospacing="1"/>
      <w:jc w:val="left"/>
    </w:pPr>
    <w:rPr>
      <w:rFonts w:ascii="宋体" w:hAnsi="宋体" w:cs="宋体"/>
      <w:b/>
      <w:bCs/>
      <w:color w:val="005FAE"/>
      <w:kern w:val="0"/>
      <w:sz w:val="18"/>
      <w:szCs w:val="18"/>
    </w:rPr>
  </w:style>
  <w:style w:type="paragraph" w:customStyle="1" w:styleId="21">
    <w:name w:val="f_12"/>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2">
    <w:name w:val="mtdiv"/>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BFBFB"/>
      <w:spacing w:before="100" w:beforeAutospacing="1" w:after="100" w:afterAutospacing="1"/>
      <w:jc w:val="left"/>
    </w:pPr>
    <w:rPr>
      <w:rFonts w:ascii="宋体" w:hAnsi="宋体" w:cs="宋体"/>
      <w:kern w:val="0"/>
      <w:sz w:val="24"/>
      <w:szCs w:val="24"/>
    </w:rPr>
  </w:style>
  <w:style w:type="paragraph" w:customStyle="1" w:styleId="23">
    <w:name w:val="a18da"/>
    <w:basedOn w:val="1"/>
    <w:qFormat/>
    <w:uiPriority w:val="99"/>
    <w:pPr>
      <w:widowControl/>
      <w:shd w:val="clear" w:color="auto" w:fill="EA290A"/>
      <w:spacing w:before="100" w:beforeAutospacing="1" w:after="100" w:afterAutospacing="1"/>
      <w:jc w:val="left"/>
    </w:pPr>
    <w:rPr>
      <w:rFonts w:ascii="宋体" w:hAnsi="宋体" w:cs="宋体"/>
      <w:kern w:val="0"/>
      <w:sz w:val="24"/>
      <w:szCs w:val="24"/>
    </w:rPr>
  </w:style>
  <w:style w:type="paragraph" w:customStyle="1" w:styleId="24">
    <w:name w:val="blzt-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5">
    <w:name w:val="title-752"/>
    <w:basedOn w:val="1"/>
    <w:qFormat/>
    <w:uiPriority w:val="99"/>
    <w:pPr>
      <w:widowControl/>
      <w:pBdr>
        <w:left w:val="single" w:color="BEDCF1" w:sz="6" w:space="0"/>
        <w:right w:val="single" w:color="BEDCF1" w:sz="6" w:space="0"/>
      </w:pBdr>
      <w:spacing w:before="100" w:beforeAutospacing="1" w:after="100" w:afterAutospacing="1" w:line="435" w:lineRule="atLeast"/>
      <w:jc w:val="left"/>
      <w:textAlignment w:val="bottom"/>
    </w:pPr>
    <w:rPr>
      <w:rFonts w:ascii="宋体" w:hAnsi="宋体" w:cs="宋体"/>
      <w:b/>
      <w:bCs/>
      <w:color w:val="005FAE"/>
      <w:kern w:val="0"/>
    </w:rPr>
  </w:style>
  <w:style w:type="paragraph" w:customStyle="1" w:styleId="26">
    <w:name w:val="qc-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7">
    <w:name w:val="cur-select1"/>
    <w:basedOn w:val="1"/>
    <w:qFormat/>
    <w:uiPriority w:val="99"/>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28">
    <w:name w:val="yellow-type"/>
    <w:basedOn w:val="1"/>
    <w:qFormat/>
    <w:uiPriority w:val="99"/>
    <w:pPr>
      <w:widowControl/>
      <w:pBdr>
        <w:bottom w:val="single" w:color="FFE2BB" w:sz="6" w:space="0"/>
      </w:pBdr>
      <w:shd w:val="clear" w:color="auto" w:fill="FFFAF0"/>
      <w:spacing w:before="100" w:beforeAutospacing="1" w:after="100" w:afterAutospacing="1"/>
      <w:jc w:val="left"/>
    </w:pPr>
    <w:rPr>
      <w:rFonts w:ascii="宋体" w:hAnsi="宋体" w:cs="宋体"/>
      <w:kern w:val="0"/>
      <w:sz w:val="24"/>
      <w:szCs w:val="24"/>
    </w:rPr>
  </w:style>
  <w:style w:type="paragraph" w:customStyle="1" w:styleId="29">
    <w:name w:val="left-frame"/>
    <w:basedOn w:val="1"/>
    <w:qFormat/>
    <w:uiPriority w:val="99"/>
    <w:pPr>
      <w:widowControl/>
      <w:spacing w:before="100" w:beforeAutospacing="1" w:after="100" w:afterAutospacing="1" w:line="330" w:lineRule="atLeast"/>
      <w:jc w:val="left"/>
    </w:pPr>
    <w:rPr>
      <w:rFonts w:ascii="宋体" w:hAnsi="宋体" w:cs="宋体"/>
      <w:kern w:val="0"/>
      <w:sz w:val="24"/>
      <w:szCs w:val="24"/>
    </w:rPr>
  </w:style>
  <w:style w:type="paragraph" w:customStyle="1" w:styleId="30">
    <w:name w:val="left-223"/>
    <w:basedOn w:val="1"/>
    <w:qFormat/>
    <w:uiPriority w:val="99"/>
    <w:pPr>
      <w:widowControl/>
      <w:pBdr>
        <w:top w:val="single" w:color="CCCCCC" w:sz="6" w:space="1"/>
        <w:left w:val="single" w:color="CCCCCC" w:sz="6" w:space="1"/>
        <w:bottom w:val="single" w:color="CCCCCC" w:sz="6" w:space="1"/>
        <w:right w:val="single" w:color="CCCCCC" w:sz="6" w:space="1"/>
      </w:pBdr>
      <w:shd w:val="clear" w:color="auto" w:fill="FAFAFA"/>
      <w:spacing w:before="100" w:beforeAutospacing="1" w:after="100" w:afterAutospacing="1"/>
      <w:jc w:val="left"/>
    </w:pPr>
    <w:rPr>
      <w:rFonts w:ascii="宋体" w:hAnsi="宋体" w:cs="宋体"/>
      <w:kern w:val="0"/>
      <w:sz w:val="24"/>
      <w:szCs w:val="24"/>
    </w:rPr>
  </w:style>
  <w:style w:type="paragraph" w:customStyle="1" w:styleId="31">
    <w:name w:val="right-title"/>
    <w:basedOn w:val="1"/>
    <w:qFormat/>
    <w:uiPriority w:val="99"/>
    <w:pPr>
      <w:widowControl/>
      <w:spacing w:before="100" w:beforeAutospacing="1" w:after="100" w:afterAutospacing="1"/>
      <w:ind w:firstLine="90"/>
      <w:jc w:val="left"/>
      <w:textAlignment w:val="top"/>
    </w:pPr>
    <w:rPr>
      <w:rFonts w:ascii="宋体" w:hAnsi="宋体" w:cs="宋体"/>
      <w:b/>
      <w:bCs/>
      <w:color w:val="FFFFFF"/>
      <w:kern w:val="0"/>
    </w:rPr>
  </w:style>
  <w:style w:type="paragraph" w:customStyle="1" w:styleId="32">
    <w:name w:val="middle-yellow-title"/>
    <w:basedOn w:val="1"/>
    <w:qFormat/>
    <w:uiPriority w:val="99"/>
    <w:pPr>
      <w:widowControl/>
      <w:spacing w:before="100" w:beforeAutospacing="1" w:after="100" w:afterAutospacing="1" w:line="390" w:lineRule="atLeast"/>
      <w:ind w:firstLine="420"/>
      <w:jc w:val="left"/>
      <w:textAlignment w:val="bottom"/>
    </w:pPr>
    <w:rPr>
      <w:rFonts w:ascii="宋体" w:hAnsi="宋体" w:cs="宋体"/>
      <w:b/>
      <w:bCs/>
      <w:color w:val="FFFFFF"/>
      <w:kern w:val="0"/>
    </w:rPr>
  </w:style>
  <w:style w:type="paragraph" w:customStyle="1" w:styleId="33">
    <w:name w:val="middle-lable-com-1"/>
    <w:basedOn w:val="1"/>
    <w:qFormat/>
    <w:uiPriority w:val="99"/>
    <w:pPr>
      <w:widowControl/>
      <w:spacing w:before="100" w:beforeAutospacing="1" w:after="100" w:afterAutospacing="1"/>
      <w:jc w:val="center"/>
      <w:textAlignment w:val="bottom"/>
    </w:pPr>
    <w:rPr>
      <w:rFonts w:ascii="宋体" w:hAnsi="宋体" w:cs="宋体"/>
      <w:b/>
      <w:bCs/>
      <w:color w:val="FFFFFF"/>
      <w:kern w:val="0"/>
      <w:sz w:val="18"/>
      <w:szCs w:val="18"/>
    </w:rPr>
  </w:style>
  <w:style w:type="paragraph" w:customStyle="1" w:styleId="34">
    <w:name w:val="left-title"/>
    <w:basedOn w:val="1"/>
    <w:qFormat/>
    <w:uiPriority w:val="99"/>
    <w:pPr>
      <w:widowControl/>
      <w:spacing w:before="100" w:beforeAutospacing="1" w:after="100" w:afterAutospacing="1"/>
      <w:ind w:firstLine="90"/>
      <w:jc w:val="left"/>
      <w:textAlignment w:val="center"/>
    </w:pPr>
    <w:rPr>
      <w:rFonts w:ascii="宋体" w:hAnsi="宋体" w:cs="宋体"/>
      <w:b/>
      <w:bCs/>
      <w:color w:val="FFFFFF"/>
      <w:kern w:val="0"/>
    </w:rPr>
  </w:style>
  <w:style w:type="paragraph" w:customStyle="1" w:styleId="35">
    <w:name w:val="lable-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6">
    <w:name w:val="jdcaj-normal"/>
    <w:basedOn w:val="1"/>
    <w:qFormat/>
    <w:uiPriority w:val="99"/>
    <w:pPr>
      <w:widowControl/>
      <w:pBdr>
        <w:top w:val="single" w:color="BDDCF1" w:sz="6" w:space="1"/>
        <w:left w:val="single" w:color="BDDCF1" w:sz="6" w:space="0"/>
        <w:bottom w:val="single" w:color="BDDCF1" w:sz="6" w:space="0"/>
        <w:right w:val="single" w:color="BDDCF1" w:sz="6" w:space="0"/>
      </w:pBdr>
      <w:spacing w:before="100" w:beforeAutospacing="1" w:after="100" w:afterAutospacing="1"/>
      <w:jc w:val="center"/>
    </w:pPr>
    <w:rPr>
      <w:rFonts w:ascii="宋体" w:hAnsi="宋体" w:cs="宋体"/>
      <w:color w:val="444444"/>
      <w:kern w:val="0"/>
      <w:sz w:val="18"/>
      <w:szCs w:val="18"/>
    </w:rPr>
  </w:style>
  <w:style w:type="paragraph" w:customStyle="1" w:styleId="37">
    <w:name w:val="table-frame-754"/>
    <w:basedOn w:val="1"/>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38">
    <w:name w:val="normal-gonggao"/>
    <w:basedOn w:val="1"/>
    <w:qFormat/>
    <w:uiPriority w:val="99"/>
    <w:pPr>
      <w:widowControl/>
      <w:spacing w:before="100" w:beforeAutospacing="1" w:after="100" w:afterAutospacing="1"/>
      <w:jc w:val="center"/>
    </w:pPr>
    <w:rPr>
      <w:rFonts w:ascii="宋体" w:hAnsi="宋体" w:cs="宋体"/>
      <w:color w:val="444444"/>
      <w:kern w:val="0"/>
      <w:sz w:val="18"/>
      <w:szCs w:val="18"/>
    </w:rPr>
  </w:style>
  <w:style w:type="paragraph" w:customStyle="1" w:styleId="39">
    <w:name w:val="l-blue"/>
    <w:basedOn w:val="1"/>
    <w:qFormat/>
    <w:uiPriority w:val="99"/>
    <w:pPr>
      <w:widowControl/>
      <w:spacing w:before="100" w:beforeAutospacing="1" w:after="100" w:afterAutospacing="1"/>
      <w:jc w:val="left"/>
    </w:pPr>
    <w:rPr>
      <w:rFonts w:ascii="宋体" w:hAnsi="宋体" w:cs="宋体"/>
      <w:b/>
      <w:bCs/>
      <w:color w:val="005FAE"/>
      <w:kern w:val="0"/>
      <w:sz w:val="18"/>
      <w:szCs w:val="18"/>
    </w:rPr>
  </w:style>
  <w:style w:type="paragraph" w:customStyle="1" w:styleId="40">
    <w:name w:val="blue-bstd-type"/>
    <w:basedOn w:val="1"/>
    <w:qFormat/>
    <w:uiPriority w:val="99"/>
    <w:pPr>
      <w:widowControl/>
      <w:pBdr>
        <w:bottom w:val="single" w:color="D1E6F5" w:sz="6" w:space="0"/>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41">
    <w:name w:val="blue-lable-common"/>
    <w:basedOn w:val="1"/>
    <w:qFormat/>
    <w:uiPriority w:val="99"/>
    <w:pPr>
      <w:widowControl/>
      <w:spacing w:before="100" w:beforeAutospacing="1" w:after="100" w:afterAutospacing="1"/>
      <w:jc w:val="center"/>
      <w:textAlignment w:val="bottom"/>
    </w:pPr>
    <w:rPr>
      <w:rFonts w:ascii="宋体" w:hAnsi="宋体" w:cs="宋体"/>
      <w:color w:val="333333"/>
      <w:kern w:val="0"/>
      <w:sz w:val="18"/>
      <w:szCs w:val="18"/>
    </w:rPr>
  </w:style>
  <w:style w:type="paragraph" w:customStyle="1" w:styleId="42">
    <w:name w:val="tab_tr_infopub"/>
    <w:basedOn w:val="1"/>
    <w:qFormat/>
    <w:uiPriority w:val="99"/>
    <w:pPr>
      <w:widowControl/>
      <w:pBdr>
        <w:top w:val="single" w:color="8CBDED" w:sz="6" w:space="0"/>
        <w:left w:val="single" w:color="8CBDED" w:sz="6" w:space="0"/>
        <w:bottom w:val="single" w:color="8CBDED" w:sz="6" w:space="0"/>
        <w:right w:val="single" w:color="8CBDED" w:sz="6" w:space="0"/>
      </w:pBdr>
      <w:spacing w:before="100" w:beforeAutospacing="1" w:after="100" w:afterAutospacing="1"/>
      <w:jc w:val="left"/>
    </w:pPr>
    <w:rPr>
      <w:rFonts w:ascii="宋体" w:hAnsi="宋体" w:cs="宋体"/>
      <w:kern w:val="0"/>
      <w:sz w:val="24"/>
      <w:szCs w:val="24"/>
    </w:rPr>
  </w:style>
  <w:style w:type="paragraph" w:customStyle="1" w:styleId="43">
    <w:name w:val="l-blue-common-1"/>
    <w:basedOn w:val="1"/>
    <w:qFormat/>
    <w:uiPriority w:val="99"/>
    <w:pPr>
      <w:widowControl/>
      <w:spacing w:before="100" w:beforeAutospacing="1" w:after="100" w:afterAutospacing="1"/>
      <w:jc w:val="left"/>
    </w:pPr>
    <w:rPr>
      <w:rFonts w:ascii="宋体" w:hAnsi="宋体" w:cs="宋体"/>
      <w:color w:val="333333"/>
      <w:kern w:val="0"/>
      <w:sz w:val="18"/>
      <w:szCs w:val="18"/>
    </w:rPr>
  </w:style>
  <w:style w:type="paragraph" w:customStyle="1" w:styleId="44">
    <w:name w:val="bottom-line"/>
    <w:basedOn w:val="1"/>
    <w:qFormat/>
    <w:uiPriority w:val="99"/>
    <w:pPr>
      <w:widowControl/>
      <w:pBdr>
        <w:bottom w:val="single" w:color="EFEFEF" w:sz="6" w:space="0"/>
      </w:pBdr>
      <w:spacing w:before="100" w:beforeAutospacing="1" w:after="100" w:afterAutospacing="1" w:line="240" w:lineRule="atLeast"/>
      <w:jc w:val="left"/>
    </w:pPr>
    <w:rPr>
      <w:rFonts w:ascii="宋体" w:hAnsi="宋体" w:cs="宋体"/>
      <w:kern w:val="0"/>
      <w:sz w:val="24"/>
      <w:szCs w:val="24"/>
    </w:rPr>
  </w:style>
  <w:style w:type="paragraph" w:customStyle="1" w:styleId="45">
    <w:name w:val="f_14"/>
    <w:basedOn w:val="1"/>
    <w:qFormat/>
    <w:uiPriority w:val="99"/>
    <w:pPr>
      <w:widowControl/>
      <w:spacing w:before="100" w:beforeAutospacing="1" w:after="100" w:afterAutospacing="1"/>
      <w:jc w:val="left"/>
    </w:pPr>
    <w:rPr>
      <w:rFonts w:ascii="宋体" w:hAnsi="宋体" w:cs="宋体"/>
      <w:kern w:val="0"/>
    </w:rPr>
  </w:style>
  <w:style w:type="paragraph" w:customStyle="1" w:styleId="46">
    <w:name w:val="bds_buzz"/>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47">
    <w:name w:val="blue-bottom-line"/>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48">
    <w:name w:val="jggs-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49">
    <w:name w:val="bds_zx"/>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0">
    <w:name w:val="bszx-240"/>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00" w:afterAutospacing="1"/>
      <w:jc w:val="left"/>
    </w:pPr>
    <w:rPr>
      <w:rFonts w:ascii="宋体" w:hAnsi="宋体" w:cs="宋体"/>
      <w:kern w:val="0"/>
      <w:sz w:val="24"/>
      <w:szCs w:val="24"/>
    </w:rPr>
  </w:style>
  <w:style w:type="paragraph" w:customStyle="1" w:styleId="51">
    <w:name w:val="bds_fl51"/>
    <w:basedOn w:val="1"/>
    <w:qFormat/>
    <w:uiPriority w:val="99"/>
    <w:pPr>
      <w:widowControl/>
      <w:pBdr>
        <w:top w:val="single" w:color="F2F1F1" w:sz="6" w:space="0"/>
      </w:pBdr>
      <w:shd w:val="clear" w:color="auto" w:fill="F8F8F8"/>
      <w:jc w:val="left"/>
    </w:pPr>
    <w:rPr>
      <w:rFonts w:ascii="宋体" w:hAnsi="宋体" w:cs="宋体"/>
      <w:vanish/>
      <w:kern w:val="0"/>
      <w:sz w:val="18"/>
      <w:szCs w:val="18"/>
    </w:rPr>
  </w:style>
  <w:style w:type="paragraph" w:customStyle="1" w:styleId="52">
    <w:name w:val="question-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3">
    <w:name w:val="red-dot"/>
    <w:basedOn w:val="1"/>
    <w:qFormat/>
    <w:uiPriority w:val="99"/>
    <w:pPr>
      <w:widowControl/>
      <w:spacing w:before="100" w:beforeAutospacing="1" w:after="100" w:afterAutospacing="1"/>
      <w:jc w:val="left"/>
    </w:pPr>
    <w:rPr>
      <w:rFonts w:ascii="宋体" w:hAnsi="宋体" w:cs="宋体"/>
      <w:color w:val="C81908"/>
      <w:kern w:val="0"/>
      <w:sz w:val="18"/>
      <w:szCs w:val="18"/>
    </w:rPr>
  </w:style>
  <w:style w:type="paragraph" w:customStyle="1" w:styleId="54">
    <w:name w:val="xwgg-table"/>
    <w:basedOn w:val="1"/>
    <w:qFormat/>
    <w:uiPriority w:val="99"/>
    <w:pPr>
      <w:widowControl/>
      <w:pBdr>
        <w:top w:val="single" w:color="ABD5EB" w:sz="6" w:space="0"/>
        <w:left w:val="single" w:color="ABD5EB" w:sz="6" w:space="0"/>
        <w:right w:val="single" w:color="ABD5EB" w:sz="6" w:space="0"/>
      </w:pBdr>
      <w:shd w:val="clear" w:color="auto" w:fill="F2F7FD"/>
      <w:spacing w:before="100" w:beforeAutospacing="1" w:after="100" w:afterAutospacing="1"/>
      <w:jc w:val="left"/>
    </w:pPr>
    <w:rPr>
      <w:rFonts w:ascii="宋体" w:hAnsi="宋体" w:cs="宋体"/>
      <w:kern w:val="0"/>
      <w:sz w:val="24"/>
      <w:szCs w:val="24"/>
    </w:rPr>
  </w:style>
  <w:style w:type="paragraph" w:customStyle="1" w:styleId="55">
    <w:name w:val="blue-frame"/>
    <w:basedOn w:val="1"/>
    <w:qFormat/>
    <w:uiPriority w:val="99"/>
    <w:pPr>
      <w:widowControl/>
      <w:pBdr>
        <w:top w:val="single" w:color="99CCEB" w:sz="6" w:space="4"/>
        <w:left w:val="single" w:color="99CCEB" w:sz="6" w:space="4"/>
        <w:bottom w:val="single" w:color="99CCEB" w:sz="6" w:space="4"/>
        <w:right w:val="single" w:color="99CCEB" w:sz="6" w:space="4"/>
      </w:pBdr>
      <w:spacing w:before="100" w:beforeAutospacing="1" w:after="100" w:afterAutospacing="1" w:line="330" w:lineRule="atLeast"/>
      <w:jc w:val="left"/>
    </w:pPr>
    <w:rPr>
      <w:rFonts w:ascii="宋体" w:hAnsi="宋体" w:cs="宋体"/>
      <w:kern w:val="0"/>
      <w:sz w:val="24"/>
      <w:szCs w:val="24"/>
    </w:rPr>
  </w:style>
  <w:style w:type="paragraph" w:customStyle="1" w:styleId="56">
    <w:name w:val="grey-table-grey"/>
    <w:basedOn w:val="1"/>
    <w:qFormat/>
    <w:uiPriority w:val="99"/>
    <w:pPr>
      <w:widowControl/>
      <w:pBdr>
        <w:top w:val="single" w:color="CCCCCC" w:sz="6" w:space="1"/>
        <w:left w:val="single" w:color="CCCCCC" w:sz="6" w:space="1"/>
        <w:bottom w:val="single" w:color="CCCCCC" w:sz="6" w:space="0"/>
        <w:right w:val="single" w:color="CCCCCC" w:sz="6" w:space="1"/>
      </w:pBdr>
      <w:shd w:val="clear" w:color="auto" w:fill="FAFAFA"/>
      <w:spacing w:before="100" w:beforeAutospacing="1" w:after="100" w:afterAutospacing="1"/>
      <w:jc w:val="left"/>
    </w:pPr>
    <w:rPr>
      <w:rFonts w:ascii="宋体" w:hAnsi="宋体" w:cs="宋体"/>
      <w:kern w:val="0"/>
      <w:sz w:val="24"/>
      <w:szCs w:val="24"/>
    </w:rPr>
  </w:style>
  <w:style w:type="paragraph" w:customStyle="1" w:styleId="57">
    <w:name w:val="left-280"/>
    <w:basedOn w:val="1"/>
    <w:qFormat/>
    <w:uiPriority w:val="99"/>
    <w:pPr>
      <w:widowControl/>
      <w:pBdr>
        <w:top w:val="single" w:color="CCCCCC" w:sz="6" w:space="3"/>
        <w:left w:val="single" w:color="CCCCCC" w:sz="6" w:space="3"/>
        <w:bottom w:val="single" w:color="CCCCCC" w:sz="6" w:space="3"/>
        <w:right w:val="single" w:color="CCCCCC" w:sz="6" w:space="3"/>
      </w:pBdr>
      <w:spacing w:before="100" w:beforeAutospacing="1" w:after="100" w:afterAutospacing="1"/>
      <w:jc w:val="left"/>
    </w:pPr>
    <w:rPr>
      <w:rFonts w:ascii="宋体" w:hAnsi="宋体" w:cs="宋体"/>
      <w:kern w:val="0"/>
      <w:sz w:val="24"/>
      <w:szCs w:val="24"/>
    </w:rPr>
  </w:style>
  <w:style w:type="paragraph" w:customStyle="1" w:styleId="58">
    <w:name w:val="xwgg-title"/>
    <w:basedOn w:val="1"/>
    <w:qFormat/>
    <w:uiPriority w:val="99"/>
    <w:pPr>
      <w:widowControl/>
      <w:spacing w:before="100" w:beforeAutospacing="1" w:after="100" w:afterAutospacing="1"/>
      <w:jc w:val="left"/>
    </w:pPr>
    <w:rPr>
      <w:rFonts w:ascii="宋体" w:hAnsi="宋体" w:cs="宋体"/>
      <w:b/>
      <w:bCs/>
      <w:color w:val="0060AD"/>
      <w:kern w:val="0"/>
    </w:rPr>
  </w:style>
  <w:style w:type="paragraph" w:customStyle="1" w:styleId="59">
    <w:name w:val="active-gonggao"/>
    <w:basedOn w:val="1"/>
    <w:qFormat/>
    <w:uiPriority w:val="99"/>
    <w:pPr>
      <w:widowControl/>
      <w:spacing w:before="100" w:beforeAutospacing="1" w:after="100" w:afterAutospacing="1"/>
      <w:jc w:val="center"/>
    </w:pPr>
    <w:rPr>
      <w:rFonts w:ascii="宋体" w:hAnsi="宋体" w:cs="宋体"/>
      <w:color w:val="FFFFFF"/>
      <w:kern w:val="0"/>
      <w:sz w:val="18"/>
      <w:szCs w:val="18"/>
    </w:rPr>
  </w:style>
  <w:style w:type="paragraph" w:customStyle="1" w:styleId="60">
    <w:name w:val="middle-title-1"/>
    <w:basedOn w:val="1"/>
    <w:qFormat/>
    <w:uiPriority w:val="99"/>
    <w:pPr>
      <w:widowControl/>
      <w:spacing w:before="100" w:beforeAutospacing="1" w:after="100" w:afterAutospacing="1" w:line="435" w:lineRule="atLeast"/>
      <w:ind w:firstLine="420"/>
      <w:jc w:val="left"/>
      <w:textAlignment w:val="bottom"/>
    </w:pPr>
    <w:rPr>
      <w:rFonts w:ascii="宋体" w:hAnsi="宋体" w:cs="宋体"/>
      <w:b/>
      <w:bCs/>
      <w:color w:val="FFFFFF"/>
      <w:kern w:val="0"/>
    </w:rPr>
  </w:style>
  <w:style w:type="paragraph" w:customStyle="1" w:styleId="61">
    <w:name w:val="menu-line-bg"/>
    <w:basedOn w:val="1"/>
    <w:qFormat/>
    <w:uiPriority w:val="99"/>
    <w:pPr>
      <w:widowControl/>
      <w:pBdr>
        <w:right w:val="single" w:color="ABD1EB" w:sz="6" w:space="2"/>
      </w:pBdr>
      <w:spacing w:before="100" w:beforeAutospacing="1" w:after="100" w:afterAutospacing="1"/>
      <w:jc w:val="left"/>
    </w:pPr>
    <w:rPr>
      <w:rFonts w:ascii="宋体" w:hAnsi="宋体" w:cs="宋体"/>
      <w:kern w:val="0"/>
      <w:sz w:val="24"/>
      <w:szCs w:val="24"/>
    </w:rPr>
  </w:style>
  <w:style w:type="paragraph" w:customStyle="1" w:styleId="62">
    <w:name w:val="blue-table-text"/>
    <w:basedOn w:val="1"/>
    <w:qFormat/>
    <w:uiPriority w:val="99"/>
    <w:pPr>
      <w:widowControl/>
      <w:spacing w:before="100" w:beforeAutospacing="1" w:after="100" w:afterAutospacing="1"/>
      <w:ind w:firstLine="90"/>
      <w:jc w:val="left"/>
      <w:textAlignment w:val="top"/>
    </w:pPr>
    <w:rPr>
      <w:rFonts w:ascii="宋体" w:hAnsi="宋体" w:cs="宋体"/>
      <w:b/>
      <w:bCs/>
      <w:color w:val="0060AD"/>
      <w:kern w:val="0"/>
    </w:rPr>
  </w:style>
  <w:style w:type="paragraph" w:customStyle="1" w:styleId="63">
    <w:name w:val="lanmu-title"/>
    <w:basedOn w:val="1"/>
    <w:qFormat/>
    <w:uiPriority w:val="99"/>
    <w:pPr>
      <w:widowControl/>
      <w:spacing w:before="100" w:beforeAutospacing="1" w:after="100" w:afterAutospacing="1"/>
      <w:ind w:firstLine="375"/>
      <w:jc w:val="left"/>
    </w:pPr>
    <w:rPr>
      <w:rFonts w:ascii="宋体" w:hAnsi="宋体" w:cs="宋体"/>
      <w:b/>
      <w:bCs/>
      <w:color w:val="333333"/>
      <w:kern w:val="0"/>
    </w:rPr>
  </w:style>
  <w:style w:type="paragraph" w:customStyle="1" w:styleId="64">
    <w:name w:val="blue-table-title"/>
    <w:basedOn w:val="1"/>
    <w:qFormat/>
    <w:uiPriority w:val="99"/>
    <w:pPr>
      <w:widowControl/>
      <w:pBdr>
        <w:top w:val="single" w:color="ABD5EB" w:sz="6" w:space="3"/>
        <w:left w:val="single" w:color="ABD5EB" w:sz="6" w:space="0"/>
        <w:bottom w:val="single" w:color="ABD5EB" w:sz="6" w:space="3"/>
        <w:right w:val="single" w:color="ABD5EB" w:sz="6" w:space="0"/>
      </w:pBdr>
      <w:shd w:val="clear" w:color="auto" w:fill="F2F7FD"/>
      <w:spacing w:before="100" w:beforeAutospacing="1" w:after="100" w:afterAutospacing="1"/>
      <w:ind w:firstLine="90"/>
      <w:jc w:val="left"/>
      <w:textAlignment w:val="top"/>
    </w:pPr>
    <w:rPr>
      <w:rFonts w:ascii="宋体" w:hAnsi="宋体" w:cs="宋体"/>
      <w:b/>
      <w:bCs/>
      <w:color w:val="0060AD"/>
      <w:kern w:val="0"/>
    </w:rPr>
  </w:style>
  <w:style w:type="paragraph" w:customStyle="1" w:styleId="65">
    <w:name w:val="btn-select"/>
    <w:basedOn w:val="1"/>
    <w:qFormat/>
    <w:uiPriority w:val="99"/>
    <w:pPr>
      <w:widowControl/>
      <w:pBdr>
        <w:top w:val="single" w:color="B0A296" w:sz="2" w:space="0"/>
        <w:left w:val="single" w:color="B0A296" w:sz="2" w:space="0"/>
        <w:bottom w:val="single" w:color="B0A296" w:sz="2" w:space="0"/>
        <w:right w:val="single" w:color="B0A296" w:sz="2" w:space="0"/>
      </w:pBdr>
      <w:shd w:val="clear" w:color="auto" w:fill="FEFEFE"/>
      <w:spacing w:before="100" w:beforeAutospacing="1" w:after="100" w:afterAutospacing="1" w:line="300" w:lineRule="atLeast"/>
      <w:jc w:val="left"/>
    </w:pPr>
    <w:rPr>
      <w:rFonts w:ascii="微软雅黑" w:hAnsi="微软雅黑" w:eastAsia="微软雅黑" w:cs="微软雅黑"/>
      <w:color w:val="666666"/>
      <w:kern w:val="0"/>
    </w:rPr>
  </w:style>
  <w:style w:type="paragraph" w:customStyle="1" w:styleId="66">
    <w:name w:val="op-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67">
    <w:name w:val="bds_fl5"/>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68">
    <w:name w:val="index_special_1"/>
    <w:basedOn w:val="1"/>
    <w:qFormat/>
    <w:uiPriority w:val="99"/>
    <w:pPr>
      <w:widowControl/>
      <w:spacing w:before="100" w:beforeAutospacing="1" w:after="100" w:afterAutospacing="1"/>
      <w:jc w:val="center"/>
    </w:pPr>
    <w:rPr>
      <w:rFonts w:ascii="宋体" w:hAnsi="宋体" w:cs="宋体"/>
      <w:b/>
      <w:bCs/>
      <w:color w:val="0064BD"/>
      <w:kern w:val="0"/>
      <w:sz w:val="18"/>
      <w:szCs w:val="18"/>
    </w:rPr>
  </w:style>
  <w:style w:type="paragraph" w:customStyle="1" w:styleId="69">
    <w:name w:val="middle-lable"/>
    <w:basedOn w:val="1"/>
    <w:qFormat/>
    <w:uiPriority w:val="99"/>
    <w:pPr>
      <w:widowControl/>
      <w:spacing w:before="100" w:beforeAutospacing="1" w:after="100" w:afterAutospacing="1" w:line="390" w:lineRule="atLeast"/>
      <w:ind w:firstLine="375"/>
      <w:jc w:val="left"/>
      <w:textAlignment w:val="bottom"/>
    </w:pPr>
    <w:rPr>
      <w:rFonts w:ascii="宋体" w:hAnsi="宋体" w:cs="宋体"/>
      <w:b/>
      <w:bCs/>
      <w:color w:val="FFFFFF"/>
      <w:kern w:val="0"/>
    </w:rPr>
  </w:style>
  <w:style w:type="paragraph" w:customStyle="1" w:styleId="70">
    <w:name w:val="xxgk-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1">
    <w:name w:val="ab"/>
    <w:basedOn w:val="1"/>
    <w:qFormat/>
    <w:uiPriority w:val="99"/>
    <w:pPr>
      <w:widowControl/>
      <w:spacing w:before="100" w:beforeAutospacing="1" w:after="100" w:afterAutospacing="1"/>
      <w:jc w:val="left"/>
    </w:pPr>
    <w:rPr>
      <w:rFonts w:ascii="宋体" w:hAnsi="宋体" w:cs="宋体"/>
      <w:b/>
      <w:bCs/>
      <w:kern w:val="0"/>
      <w:sz w:val="24"/>
      <w:szCs w:val="24"/>
    </w:rPr>
  </w:style>
  <w:style w:type="paragraph" w:customStyle="1" w:styleId="72">
    <w:name w:val="bds_more"/>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website_execute_title_bg"/>
    <w:basedOn w:val="1"/>
    <w:qFormat/>
    <w:uiPriority w:val="99"/>
    <w:pPr>
      <w:widowControl/>
      <w:shd w:val="clear" w:color="auto" w:fill="C5C5C5"/>
      <w:spacing w:before="100" w:beforeAutospacing="1" w:after="100" w:afterAutospacing="1" w:line="390" w:lineRule="atLeast"/>
      <w:jc w:val="left"/>
      <w:textAlignment w:val="bottom"/>
    </w:pPr>
    <w:rPr>
      <w:rFonts w:ascii="宋体" w:hAnsi="宋体" w:cs="宋体"/>
      <w:b/>
      <w:bCs/>
      <w:color w:val="FFFFFF"/>
      <w:spacing w:val="40"/>
      <w:kern w:val="0"/>
      <w:sz w:val="18"/>
      <w:szCs w:val="18"/>
    </w:rPr>
  </w:style>
  <w:style w:type="paragraph" w:customStyle="1" w:styleId="74">
    <w:name w:val="blue-table-td"/>
    <w:basedOn w:val="1"/>
    <w:qFormat/>
    <w:uiPriority w:val="99"/>
    <w:pPr>
      <w:widowControl/>
      <w:pBdr>
        <w:top w:val="single" w:color="FFFFFF" w:sz="6" w:space="0"/>
        <w:left w:val="single" w:color="FFFFFF" w:sz="6" w:space="0"/>
        <w:bottom w:val="single" w:color="DFDFDF" w:sz="6" w:space="0"/>
        <w:right w:val="single" w:color="DFDFDF" w:sz="6" w:space="0"/>
      </w:pBdr>
      <w:shd w:val="clear" w:color="auto" w:fill="F8F8F8"/>
      <w:spacing w:before="100" w:beforeAutospacing="1" w:after="100" w:afterAutospacing="1" w:line="330" w:lineRule="atLeast"/>
      <w:jc w:val="center"/>
    </w:pPr>
    <w:rPr>
      <w:rFonts w:ascii="宋体" w:hAnsi="宋体" w:cs="宋体"/>
      <w:color w:val="444444"/>
      <w:kern w:val="0"/>
      <w:sz w:val="18"/>
      <w:szCs w:val="18"/>
    </w:rPr>
  </w:style>
  <w:style w:type="paragraph" w:customStyle="1" w:styleId="75">
    <w:name w:val="table-frame-2008"/>
    <w:basedOn w:val="1"/>
    <w:qFormat/>
    <w:uiPriority w:val="99"/>
    <w:pPr>
      <w:widowControl/>
      <w:pBdr>
        <w:left w:val="single" w:color="ABD1EB" w:sz="6" w:space="0"/>
        <w:bottom w:val="single" w:color="ABD1EB" w:sz="6" w:space="0"/>
        <w:right w:val="single" w:color="ABD1EB" w:sz="6" w:space="0"/>
      </w:pBdr>
      <w:spacing w:before="100" w:beforeAutospacing="1" w:after="100" w:afterAutospacing="1"/>
      <w:jc w:val="left"/>
    </w:pPr>
    <w:rPr>
      <w:rFonts w:ascii="宋体" w:hAnsi="宋体" w:cs="宋体"/>
      <w:kern w:val="0"/>
      <w:sz w:val="24"/>
      <w:szCs w:val="24"/>
    </w:rPr>
  </w:style>
  <w:style w:type="paragraph" w:customStyle="1" w:styleId="76">
    <w:name w:val="cur-select2"/>
    <w:basedOn w:val="1"/>
    <w:qFormat/>
    <w:uiPriority w:val="99"/>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77">
    <w:name w:val="jdcaj-active"/>
    <w:basedOn w:val="1"/>
    <w:qFormat/>
    <w:uiPriority w:val="99"/>
    <w:pPr>
      <w:widowControl/>
      <w:pBdr>
        <w:top w:val="single" w:color="BDDCF1" w:sz="6" w:space="0"/>
        <w:left w:val="single" w:color="BDDCF1" w:sz="6" w:space="0"/>
        <w:right w:val="single" w:color="BDDCF1" w:sz="6" w:space="0"/>
      </w:pBdr>
      <w:spacing w:before="100" w:beforeAutospacing="1" w:after="100" w:afterAutospacing="1"/>
      <w:jc w:val="center"/>
    </w:pPr>
    <w:rPr>
      <w:rFonts w:ascii="宋体" w:hAnsi="宋体" w:cs="宋体"/>
      <w:color w:val="005FAE"/>
      <w:kern w:val="0"/>
      <w:sz w:val="18"/>
      <w:szCs w:val="18"/>
    </w:rPr>
  </w:style>
  <w:style w:type="paragraph" w:customStyle="1" w:styleId="78">
    <w:name w:val="ph-title"/>
    <w:basedOn w:val="1"/>
    <w:qFormat/>
    <w:uiPriority w:val="99"/>
    <w:pPr>
      <w:widowControl/>
      <w:spacing w:before="100" w:beforeAutospacing="1" w:after="100" w:afterAutospacing="1"/>
      <w:jc w:val="left"/>
      <w:textAlignment w:val="bottom"/>
    </w:pPr>
    <w:rPr>
      <w:rFonts w:ascii="宋体" w:hAnsi="宋体" w:cs="宋体"/>
      <w:kern w:val="0"/>
      <w:sz w:val="24"/>
      <w:szCs w:val="24"/>
    </w:rPr>
  </w:style>
  <w:style w:type="paragraph" w:customStyle="1" w:styleId="79">
    <w:name w:val="bszx-230"/>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00" w:afterAutospacing="1"/>
      <w:jc w:val="left"/>
    </w:pPr>
    <w:rPr>
      <w:rFonts w:ascii="宋体" w:hAnsi="宋体" w:cs="宋体"/>
      <w:kern w:val="0"/>
      <w:sz w:val="24"/>
      <w:szCs w:val="24"/>
    </w:rPr>
  </w:style>
  <w:style w:type="paragraph" w:customStyle="1" w:styleId="80">
    <w:name w:val="normal-blue"/>
    <w:basedOn w:val="1"/>
    <w:qFormat/>
    <w:uiPriority w:val="99"/>
    <w:pPr>
      <w:widowControl/>
      <w:spacing w:before="100" w:beforeAutospacing="1" w:after="100" w:afterAutospacing="1"/>
      <w:jc w:val="left"/>
      <w:textAlignment w:val="bottom"/>
    </w:pPr>
    <w:rPr>
      <w:rFonts w:ascii="宋体" w:hAnsi="宋体" w:cs="宋体"/>
      <w:color w:val="FFFFFF"/>
      <w:kern w:val="0"/>
      <w:sz w:val="24"/>
      <w:szCs w:val="24"/>
    </w:rPr>
  </w:style>
  <w:style w:type="paragraph" w:customStyle="1" w:styleId="81">
    <w:name w:val="ny-middle-title-bg"/>
    <w:basedOn w:val="1"/>
    <w:qFormat/>
    <w:uiPriority w:val="99"/>
    <w:pPr>
      <w:widowControl/>
      <w:pBdr>
        <w:right w:val="single" w:color="BEDCF1" w:sz="6" w:space="0"/>
      </w:pBdr>
      <w:spacing w:before="100" w:beforeAutospacing="1" w:after="100" w:afterAutospacing="1"/>
      <w:jc w:val="left"/>
    </w:pPr>
    <w:rPr>
      <w:rFonts w:ascii="宋体" w:hAnsi="宋体" w:cs="宋体"/>
      <w:kern w:val="0"/>
      <w:sz w:val="24"/>
      <w:szCs w:val="24"/>
    </w:rPr>
  </w:style>
  <w:style w:type="paragraph" w:customStyle="1" w:styleId="82">
    <w:name w:val="grey-content-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3">
    <w:name w:val="normal-blue-1"/>
    <w:basedOn w:val="1"/>
    <w:qFormat/>
    <w:uiPriority w:val="99"/>
    <w:pPr>
      <w:widowControl/>
      <w:spacing w:before="100" w:beforeAutospacing="1" w:after="100" w:afterAutospacing="1"/>
      <w:jc w:val="left"/>
      <w:textAlignment w:val="bottom"/>
    </w:pPr>
    <w:rPr>
      <w:rFonts w:ascii="宋体" w:hAnsi="宋体" w:cs="宋体"/>
      <w:color w:val="3075B4"/>
      <w:kern w:val="0"/>
      <w:sz w:val="24"/>
      <w:szCs w:val="24"/>
    </w:rPr>
  </w:style>
  <w:style w:type="paragraph" w:customStyle="1" w:styleId="84">
    <w:name w:val="middle-blue-line-all"/>
    <w:basedOn w:val="1"/>
    <w:qFormat/>
    <w:uiPriority w:val="99"/>
    <w:pPr>
      <w:widowControl/>
      <w:pBdr>
        <w:top w:val="single" w:color="ABD5EB" w:sz="6" w:space="0"/>
        <w:left w:val="single" w:color="ABD5EB" w:sz="6" w:space="0"/>
        <w:bottom w:val="single" w:color="ABD5EB" w:sz="6" w:space="3"/>
        <w:right w:val="single" w:color="ABD5EB" w:sz="6" w:space="0"/>
      </w:pBdr>
      <w:spacing w:before="100" w:beforeAutospacing="1" w:after="100" w:afterAutospacing="1"/>
      <w:jc w:val="left"/>
    </w:pPr>
    <w:rPr>
      <w:rFonts w:ascii="宋体" w:hAnsi="宋体" w:cs="宋体"/>
      <w:kern w:val="0"/>
      <w:sz w:val="24"/>
      <w:szCs w:val="24"/>
    </w:rPr>
  </w:style>
  <w:style w:type="paragraph" w:customStyle="1" w:styleId="85">
    <w:name w:val="table-frame-750"/>
    <w:basedOn w:val="1"/>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86">
    <w:name w:val="index_special_0"/>
    <w:basedOn w:val="1"/>
    <w:qFormat/>
    <w:uiPriority w:val="99"/>
    <w:pPr>
      <w:widowControl/>
      <w:spacing w:before="100" w:beforeAutospacing="1" w:after="100" w:afterAutospacing="1"/>
      <w:jc w:val="center"/>
    </w:pPr>
    <w:rPr>
      <w:rFonts w:ascii="宋体" w:hAnsi="宋体" w:cs="宋体"/>
      <w:b/>
      <w:bCs/>
      <w:color w:val="4F4F4F"/>
      <w:kern w:val="0"/>
      <w:sz w:val="18"/>
      <w:szCs w:val="18"/>
    </w:rPr>
  </w:style>
  <w:style w:type="paragraph" w:customStyle="1" w:styleId="87">
    <w:name w:val="right-230"/>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00" w:afterAutospacing="1"/>
      <w:jc w:val="left"/>
    </w:pPr>
    <w:rPr>
      <w:rFonts w:ascii="宋体" w:hAnsi="宋体" w:cs="宋体"/>
      <w:kern w:val="0"/>
      <w:sz w:val="24"/>
      <w:szCs w:val="24"/>
    </w:rPr>
  </w:style>
  <w:style w:type="paragraph" w:customStyle="1" w:styleId="88">
    <w:name w:val="bds_zx1"/>
    <w:basedOn w:val="1"/>
    <w:qFormat/>
    <w:uiPriority w:val="99"/>
    <w:pPr>
      <w:widowControl/>
      <w:pBdr>
        <w:top w:val="single" w:color="F2F1F1" w:sz="6" w:space="0"/>
      </w:pBdr>
      <w:shd w:val="clear" w:color="auto" w:fill="F8F8F8"/>
      <w:jc w:val="left"/>
    </w:pPr>
    <w:rPr>
      <w:rFonts w:ascii="宋体" w:hAnsi="宋体" w:cs="宋体"/>
      <w:vanish/>
      <w:kern w:val="0"/>
      <w:sz w:val="18"/>
      <w:szCs w:val="18"/>
    </w:rPr>
  </w:style>
  <w:style w:type="paragraph" w:customStyle="1" w:styleId="89">
    <w:name w:val="conten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0">
    <w:name w:val="lable-grey"/>
    <w:basedOn w:val="1"/>
    <w:qFormat/>
    <w:uiPriority w:val="99"/>
    <w:pPr>
      <w:widowControl/>
      <w:spacing w:before="100" w:beforeAutospacing="1" w:after="100" w:afterAutospacing="1"/>
      <w:jc w:val="center"/>
      <w:textAlignment w:val="center"/>
    </w:pPr>
    <w:rPr>
      <w:rFonts w:ascii="宋体" w:hAnsi="宋体" w:cs="宋体"/>
      <w:b/>
      <w:bCs/>
      <w:color w:val="333333"/>
      <w:kern w:val="0"/>
      <w:sz w:val="18"/>
      <w:szCs w:val="18"/>
    </w:rPr>
  </w:style>
  <w:style w:type="paragraph" w:customStyle="1" w:styleId="91">
    <w:name w:val="修订1"/>
    <w:unhideWhenUsed/>
    <w:qFormat/>
    <w:uiPriority w:val="99"/>
    <w:rPr>
      <w:rFonts w:ascii="Times New Roman" w:hAnsi="Times New Roman" w:eastAsia="宋体" w:cs="Calibri"/>
      <w:kern w:val="2"/>
      <w:sz w:val="21"/>
      <w:szCs w:val="21"/>
      <w:lang w:val="en-US" w:eastAsia="zh-CN" w:bidi="ar-SA"/>
    </w:rPr>
  </w:style>
  <w:style w:type="paragraph" w:customStyle="1" w:styleId="92">
    <w:name w:val="question-type-bg"/>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3">
    <w:name w:val="blue-table-td-left"/>
    <w:basedOn w:val="1"/>
    <w:qFormat/>
    <w:uiPriority w:val="99"/>
    <w:pPr>
      <w:widowControl/>
      <w:pBdr>
        <w:top w:val="single" w:color="FFFFFF" w:sz="6" w:space="0"/>
        <w:left w:val="single" w:color="FFFFFF" w:sz="6" w:space="0"/>
        <w:bottom w:val="single" w:color="DFDFDF" w:sz="6" w:space="0"/>
        <w:right w:val="single" w:color="DFDFDF" w:sz="6" w:space="0"/>
      </w:pBdr>
      <w:shd w:val="clear" w:color="auto" w:fill="F8F8F8"/>
      <w:spacing w:before="100" w:beforeAutospacing="1" w:after="100" w:afterAutospacing="1" w:line="330" w:lineRule="atLeast"/>
      <w:jc w:val="left"/>
    </w:pPr>
    <w:rPr>
      <w:rFonts w:ascii="宋体" w:hAnsi="宋体" w:cs="宋体"/>
      <w:color w:val="444444"/>
      <w:kern w:val="0"/>
      <w:sz w:val="18"/>
      <w:szCs w:val="18"/>
    </w:rPr>
  </w:style>
  <w:style w:type="paragraph" w:customStyle="1" w:styleId="94">
    <w:name w:val="blue-lable"/>
    <w:basedOn w:val="1"/>
    <w:qFormat/>
    <w:uiPriority w:val="99"/>
    <w:pPr>
      <w:widowControl/>
      <w:spacing w:before="100" w:beforeAutospacing="1" w:after="100" w:afterAutospacing="1"/>
      <w:jc w:val="center"/>
      <w:textAlignment w:val="bottom"/>
    </w:pPr>
    <w:rPr>
      <w:rFonts w:ascii="宋体" w:hAnsi="宋体" w:cs="宋体"/>
      <w:b/>
      <w:bCs/>
      <w:color w:val="005FAE"/>
      <w:kern w:val="0"/>
      <w:sz w:val="18"/>
      <w:szCs w:val="18"/>
    </w:rPr>
  </w:style>
  <w:style w:type="paragraph" w:customStyle="1" w:styleId="95">
    <w:name w:val="left-h160"/>
    <w:basedOn w:val="1"/>
    <w:qFormat/>
    <w:uiPriority w:val="99"/>
    <w:pPr>
      <w:widowControl/>
      <w:pBdr>
        <w:top w:val="single" w:color="CCCCCC" w:sz="6" w:space="3"/>
        <w:left w:val="single" w:color="CCCCCC" w:sz="6" w:space="3"/>
        <w:bottom w:val="single" w:color="CCCCCC" w:sz="6" w:space="3"/>
        <w:right w:val="single" w:color="CCCCCC" w:sz="6" w:space="3"/>
      </w:pBdr>
      <w:spacing w:before="100" w:beforeAutospacing="1" w:after="100" w:afterAutospacing="1"/>
      <w:jc w:val="left"/>
    </w:pPr>
    <w:rPr>
      <w:rFonts w:ascii="宋体" w:hAnsi="宋体" w:cs="宋体"/>
      <w:kern w:val="0"/>
      <w:sz w:val="24"/>
      <w:szCs w:val="24"/>
    </w:rPr>
  </w:style>
  <w:style w:type="paragraph" w:customStyle="1" w:styleId="96">
    <w:name w:val="l-blue-common"/>
    <w:basedOn w:val="1"/>
    <w:qFormat/>
    <w:uiPriority w:val="99"/>
    <w:pPr>
      <w:widowControl/>
      <w:spacing w:before="100" w:beforeAutospacing="1" w:after="100" w:afterAutospacing="1"/>
      <w:jc w:val="left"/>
    </w:pPr>
    <w:rPr>
      <w:rFonts w:ascii="宋体" w:hAnsi="宋体" w:cs="宋体"/>
      <w:color w:val="333333"/>
      <w:kern w:val="0"/>
      <w:sz w:val="18"/>
      <w:szCs w:val="18"/>
    </w:rPr>
  </w:style>
  <w:style w:type="paragraph" w:customStyle="1" w:styleId="97">
    <w:name w:val="middle-yellow-line"/>
    <w:basedOn w:val="1"/>
    <w:qFormat/>
    <w:uiPriority w:val="99"/>
    <w:pPr>
      <w:widowControl/>
      <w:pBdr>
        <w:left w:val="single" w:color="FFE2BB" w:sz="6" w:space="0"/>
        <w:bottom w:val="single" w:color="FFE2BB" w:sz="6" w:space="2"/>
        <w:right w:val="single" w:color="FFE2BB" w:sz="6" w:space="0"/>
      </w:pBdr>
      <w:spacing w:before="100" w:beforeAutospacing="1" w:after="100" w:afterAutospacing="1"/>
      <w:jc w:val="left"/>
    </w:pPr>
    <w:rPr>
      <w:rFonts w:ascii="宋体" w:hAnsi="宋体" w:cs="宋体"/>
      <w:kern w:val="0"/>
      <w:sz w:val="24"/>
      <w:szCs w:val="24"/>
    </w:rPr>
  </w:style>
  <w:style w:type="paragraph" w:customStyle="1" w:styleId="98">
    <w:name w:val="right-title-more"/>
    <w:basedOn w:val="1"/>
    <w:qFormat/>
    <w:uiPriority w:val="99"/>
    <w:pPr>
      <w:widowControl/>
      <w:spacing w:before="100" w:beforeAutospacing="1" w:after="100" w:afterAutospacing="1"/>
      <w:jc w:val="left"/>
      <w:textAlignment w:val="top"/>
    </w:pPr>
    <w:rPr>
      <w:rFonts w:ascii="宋体" w:hAnsi="宋体" w:cs="宋体"/>
      <w:kern w:val="0"/>
      <w:sz w:val="24"/>
      <w:szCs w:val="24"/>
    </w:rPr>
  </w:style>
  <w:style w:type="paragraph" w:customStyle="1" w:styleId="99">
    <w:name w:val="active-blue"/>
    <w:basedOn w:val="1"/>
    <w:qFormat/>
    <w:uiPriority w:val="99"/>
    <w:pPr>
      <w:widowControl/>
      <w:shd w:val="clear" w:color="auto" w:fill="3075B4"/>
      <w:spacing w:before="100" w:beforeAutospacing="1" w:after="100" w:afterAutospacing="1"/>
      <w:jc w:val="left"/>
      <w:textAlignment w:val="bottom"/>
    </w:pPr>
    <w:rPr>
      <w:rFonts w:ascii="宋体" w:hAnsi="宋体" w:cs="宋体"/>
      <w:color w:val="FFFFFF"/>
      <w:kern w:val="0"/>
      <w:sz w:val="24"/>
      <w:szCs w:val="24"/>
    </w:rPr>
  </w:style>
  <w:style w:type="paragraph" w:customStyle="1" w:styleId="100">
    <w:name w:val="blue-type"/>
    <w:basedOn w:val="1"/>
    <w:qFormat/>
    <w:uiPriority w:val="99"/>
    <w:pPr>
      <w:widowControl/>
      <w:pBdr>
        <w:bottom w:val="single" w:color="D1E6F5" w:sz="6" w:space="0"/>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101">
    <w:name w:val="left-flash"/>
    <w:basedOn w:val="1"/>
    <w:qFormat/>
    <w:uiPriority w:val="99"/>
    <w:pPr>
      <w:widowControl/>
      <w:pBdr>
        <w:top w:val="single" w:color="CCCCCC" w:sz="6" w:space="3"/>
        <w:left w:val="single" w:color="CCCCCC" w:sz="6" w:space="3"/>
        <w:bottom w:val="single" w:color="CCCCCC" w:sz="6" w:space="3"/>
        <w:right w:val="single" w:color="CCCCCC" w:sz="6" w:space="3"/>
      </w:pBdr>
      <w:shd w:val="clear" w:color="auto" w:fill="FAFAFA"/>
      <w:spacing w:before="100" w:beforeAutospacing="1" w:after="135"/>
      <w:jc w:val="left"/>
    </w:pPr>
    <w:rPr>
      <w:rFonts w:ascii="宋体" w:hAnsi="宋体" w:cs="宋体"/>
      <w:kern w:val="0"/>
      <w:sz w:val="24"/>
      <w:szCs w:val="24"/>
    </w:rPr>
  </w:style>
  <w:style w:type="paragraph" w:customStyle="1" w:styleId="102">
    <w:name w:val="lable-blue"/>
    <w:basedOn w:val="1"/>
    <w:qFormat/>
    <w:uiPriority w:val="99"/>
    <w:pPr>
      <w:widowControl/>
      <w:spacing w:before="100" w:beforeAutospacing="1" w:after="100" w:afterAutospacing="1"/>
      <w:jc w:val="center"/>
      <w:textAlignment w:val="center"/>
    </w:pPr>
    <w:rPr>
      <w:rFonts w:ascii="宋体" w:hAnsi="宋体" w:cs="宋体"/>
      <w:b/>
      <w:bCs/>
      <w:color w:val="FFFFFF"/>
      <w:kern w:val="0"/>
      <w:sz w:val="18"/>
      <w:szCs w:val="18"/>
    </w:rPr>
  </w:style>
  <w:style w:type="paragraph" w:customStyle="1" w:styleId="103">
    <w:name w:val="menu-list-bg"/>
    <w:basedOn w:val="1"/>
    <w:qFormat/>
    <w:uiPriority w:val="99"/>
    <w:pPr>
      <w:widowControl/>
      <w:pBdr>
        <w:left w:val="single" w:color="7BB7DF" w:sz="6" w:space="0"/>
        <w:right w:val="single" w:color="7BB7DF" w:sz="6" w:space="0"/>
      </w:pBdr>
      <w:spacing w:before="100" w:beforeAutospacing="1" w:after="100" w:afterAutospacing="1" w:line="450" w:lineRule="atLeast"/>
      <w:ind w:firstLine="75"/>
      <w:jc w:val="left"/>
    </w:pPr>
    <w:rPr>
      <w:rFonts w:ascii="宋体" w:hAnsi="宋体" w:cs="宋体"/>
      <w:b/>
      <w:bCs/>
      <w:color w:val="000000"/>
      <w:kern w:val="0"/>
      <w:sz w:val="18"/>
      <w:szCs w:val="18"/>
    </w:rPr>
  </w:style>
  <w:style w:type="paragraph" w:customStyle="1" w:styleId="104">
    <w:name w:val="bszx-title"/>
    <w:basedOn w:val="1"/>
    <w:qFormat/>
    <w:uiPriority w:val="99"/>
    <w:pPr>
      <w:widowControl/>
      <w:spacing w:before="100" w:beforeAutospacing="1" w:after="100" w:afterAutospacing="1"/>
      <w:ind w:firstLine="90"/>
      <w:jc w:val="left"/>
      <w:textAlignment w:val="top"/>
    </w:pPr>
    <w:rPr>
      <w:rFonts w:ascii="宋体" w:hAnsi="宋体" w:cs="宋体"/>
      <w:b/>
      <w:bCs/>
      <w:color w:val="FFFFFF"/>
      <w:kern w:val="0"/>
    </w:rPr>
  </w:style>
  <w:style w:type="paragraph" w:customStyle="1" w:styleId="105">
    <w:name w:val="blue-dot"/>
    <w:basedOn w:val="1"/>
    <w:qFormat/>
    <w:uiPriority w:val="99"/>
    <w:pPr>
      <w:widowControl/>
      <w:spacing w:before="100" w:beforeAutospacing="1" w:after="100" w:afterAutospacing="1"/>
      <w:jc w:val="left"/>
    </w:pPr>
    <w:rPr>
      <w:rFonts w:ascii="宋体" w:hAnsi="宋体" w:cs="宋体"/>
      <w:color w:val="3075B4"/>
      <w:kern w:val="0"/>
      <w:sz w:val="18"/>
      <w:szCs w:val="18"/>
    </w:rPr>
  </w:style>
  <w:style w:type="paragraph" w:customStyle="1" w:styleId="106">
    <w:name w:val="bds_buzz1"/>
    <w:basedOn w:val="1"/>
    <w:qFormat/>
    <w:uiPriority w:val="99"/>
    <w:pPr>
      <w:widowControl/>
      <w:pBdr>
        <w:top w:val="single" w:color="F2F1F1" w:sz="6" w:space="0"/>
      </w:pBdr>
      <w:shd w:val="clear" w:color="auto" w:fill="F8F8F8"/>
      <w:jc w:val="left"/>
    </w:pPr>
    <w:rPr>
      <w:rFonts w:ascii="宋体" w:hAnsi="宋体" w:cs="宋体"/>
      <w:vanish/>
      <w:kern w:val="0"/>
      <w:sz w:val="18"/>
      <w:szCs w:val="18"/>
    </w:rPr>
  </w:style>
  <w:style w:type="paragraph" w:customStyle="1" w:styleId="107">
    <w:name w:val="middle-lable-com"/>
    <w:basedOn w:val="1"/>
    <w:qFormat/>
    <w:uiPriority w:val="99"/>
    <w:pPr>
      <w:widowControl/>
      <w:spacing w:before="100" w:beforeAutospacing="1" w:after="100" w:afterAutospacing="1"/>
      <w:jc w:val="center"/>
      <w:textAlignment w:val="bottom"/>
    </w:pPr>
    <w:rPr>
      <w:rFonts w:ascii="宋体" w:hAnsi="宋体" w:cs="宋体"/>
      <w:b/>
      <w:bCs/>
      <w:color w:val="1772BB"/>
      <w:kern w:val="0"/>
      <w:sz w:val="18"/>
      <w:szCs w:val="18"/>
    </w:rPr>
  </w:style>
  <w:style w:type="paragraph" w:customStyle="1" w:styleId="108">
    <w:name w:val="table-frame-or"/>
    <w:basedOn w:val="1"/>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109">
    <w:name w:val="table-frame-375"/>
    <w:basedOn w:val="1"/>
    <w:qFormat/>
    <w:uiPriority w:val="99"/>
    <w:pPr>
      <w:widowControl/>
      <w:pBdr>
        <w:left w:val="single" w:color="ABD1EB" w:sz="6" w:space="3"/>
        <w:bottom w:val="single" w:color="ABD1EB" w:sz="6" w:space="3"/>
        <w:right w:val="single" w:color="ABD1EB" w:sz="6" w:space="3"/>
      </w:pBdr>
      <w:spacing w:before="100" w:beforeAutospacing="1" w:after="100" w:afterAutospacing="1"/>
      <w:jc w:val="left"/>
    </w:pPr>
    <w:rPr>
      <w:rFonts w:ascii="宋体" w:hAnsi="宋体" w:cs="宋体"/>
      <w:kern w:val="0"/>
      <w:sz w:val="24"/>
      <w:szCs w:val="24"/>
    </w:rPr>
  </w:style>
  <w:style w:type="paragraph" w:customStyle="1" w:styleId="110">
    <w:name w:val="blue-bstd"/>
    <w:basedOn w:val="1"/>
    <w:qFormat/>
    <w:uiPriority w:val="99"/>
    <w:pPr>
      <w:widowControl/>
      <w:spacing w:before="100" w:beforeAutospacing="1" w:after="100" w:afterAutospacing="1"/>
      <w:jc w:val="left"/>
    </w:pPr>
    <w:rPr>
      <w:rFonts w:ascii="宋体" w:hAnsi="宋体" w:cs="宋体"/>
      <w:color w:val="2482BF"/>
      <w:kern w:val="0"/>
      <w:sz w:val="18"/>
      <w:szCs w:val="18"/>
    </w:rPr>
  </w:style>
  <w:style w:type="paragraph" w:customStyle="1" w:styleId="111">
    <w:name w:val="blue-bstd-active"/>
    <w:basedOn w:val="1"/>
    <w:qFormat/>
    <w:uiPriority w:val="99"/>
    <w:pPr>
      <w:widowControl/>
      <w:shd w:val="clear" w:color="auto" w:fill="D1E6F5"/>
      <w:spacing w:before="100" w:beforeAutospacing="1" w:after="100" w:afterAutospacing="1"/>
      <w:jc w:val="left"/>
    </w:pPr>
    <w:rPr>
      <w:rFonts w:ascii="宋体" w:hAnsi="宋体" w:cs="宋体"/>
      <w:b/>
      <w:bCs/>
      <w:color w:val="2482BF"/>
      <w:kern w:val="0"/>
    </w:rPr>
  </w:style>
  <w:style w:type="paragraph" w:customStyle="1" w:styleId="112">
    <w:name w:val="middle-title"/>
    <w:basedOn w:val="1"/>
    <w:qFormat/>
    <w:uiPriority w:val="99"/>
    <w:pPr>
      <w:widowControl/>
      <w:spacing w:before="100" w:beforeAutospacing="1" w:after="100" w:afterAutospacing="1" w:line="390" w:lineRule="atLeast"/>
      <w:ind w:firstLine="420"/>
      <w:jc w:val="left"/>
      <w:textAlignment w:val="bottom"/>
    </w:pPr>
    <w:rPr>
      <w:rFonts w:ascii="宋体" w:hAnsi="宋体" w:cs="宋体"/>
      <w:b/>
      <w:bCs/>
      <w:color w:val="FFFFFF"/>
      <w:kern w:val="0"/>
    </w:rPr>
  </w:style>
  <w:style w:type="paragraph" w:customStyle="1" w:styleId="113">
    <w:name w:val="cur-select"/>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14">
    <w:name w:val="页脚 字符"/>
    <w:basedOn w:val="12"/>
    <w:link w:val="9"/>
    <w:qFormat/>
    <w:uiPriority w:val="99"/>
    <w:rPr>
      <w:sz w:val="18"/>
      <w:szCs w:val="18"/>
    </w:rPr>
  </w:style>
  <w:style w:type="character" w:customStyle="1" w:styleId="115">
    <w:name w:val="标题 5 字符"/>
    <w:basedOn w:val="12"/>
    <w:link w:val="4"/>
    <w:qFormat/>
    <w:uiPriority w:val="99"/>
    <w:rPr>
      <w:rFonts w:ascii="宋体" w:hAnsi="宋体" w:eastAsia="宋体" w:cs="宋体"/>
      <w:b/>
      <w:bCs/>
      <w:kern w:val="0"/>
      <w:sz w:val="20"/>
      <w:szCs w:val="20"/>
    </w:rPr>
  </w:style>
  <w:style w:type="character" w:customStyle="1" w:styleId="116">
    <w:name w:val="页眉 字符"/>
    <w:basedOn w:val="12"/>
    <w:link w:val="10"/>
    <w:qFormat/>
    <w:uiPriority w:val="99"/>
    <w:rPr>
      <w:sz w:val="18"/>
      <w:szCs w:val="18"/>
    </w:rPr>
  </w:style>
  <w:style w:type="character" w:customStyle="1" w:styleId="117">
    <w:name w:val="批注文字 字符"/>
    <w:basedOn w:val="12"/>
    <w:link w:val="7"/>
    <w:qFormat/>
    <w:uiPriority w:val="0"/>
    <w:rPr>
      <w:rFonts w:cs="Calibri"/>
      <w:kern w:val="2"/>
      <w:sz w:val="21"/>
      <w:szCs w:val="21"/>
    </w:rPr>
  </w:style>
  <w:style w:type="character" w:customStyle="1" w:styleId="118">
    <w:name w:val="bds_more1"/>
    <w:qFormat/>
    <w:uiPriority w:val="99"/>
    <w:rPr>
      <w:rFonts w:ascii="宋体" w:hAnsi="宋体" w:eastAsia="宋体" w:cs="宋体"/>
    </w:rPr>
  </w:style>
  <w:style w:type="character" w:customStyle="1" w:styleId="119">
    <w:name w:val="bds_more2"/>
    <w:qFormat/>
    <w:uiPriority w:val="99"/>
    <w:rPr>
      <w:rFonts w:ascii="宋体" w:hAnsi="宋体" w:eastAsia="宋体" w:cs="宋体"/>
    </w:rPr>
  </w:style>
  <w:style w:type="character" w:customStyle="1" w:styleId="120">
    <w:name w:val="标题 6 字符"/>
    <w:basedOn w:val="12"/>
    <w:link w:val="5"/>
    <w:qFormat/>
    <w:uiPriority w:val="99"/>
    <w:rPr>
      <w:rFonts w:ascii="宋体" w:hAnsi="宋体" w:eastAsia="宋体" w:cs="宋体"/>
      <w:b/>
      <w:bCs/>
      <w:kern w:val="0"/>
      <w:sz w:val="15"/>
      <w:szCs w:val="15"/>
    </w:rPr>
  </w:style>
  <w:style w:type="character" w:customStyle="1" w:styleId="121">
    <w:name w:val="批注主题 字符"/>
    <w:basedOn w:val="117"/>
    <w:link w:val="6"/>
    <w:semiHidden/>
    <w:qFormat/>
    <w:uiPriority w:val="99"/>
    <w:rPr>
      <w:rFonts w:cs="Calibri"/>
      <w:b/>
      <w:bCs/>
      <w:kern w:val="2"/>
      <w:sz w:val="21"/>
      <w:szCs w:val="21"/>
    </w:rPr>
  </w:style>
  <w:style w:type="character" w:customStyle="1" w:styleId="122">
    <w:name w:val="批注框文本 字符"/>
    <w:basedOn w:val="12"/>
    <w:link w:val="8"/>
    <w:semiHidden/>
    <w:qFormat/>
    <w:uiPriority w:val="99"/>
    <w:rPr>
      <w:rFonts w:ascii="Calibri" w:hAnsi="Calibri" w:eastAsia="宋体" w:cs="Calibri"/>
      <w:sz w:val="18"/>
      <w:szCs w:val="18"/>
    </w:rPr>
  </w:style>
  <w:style w:type="character" w:customStyle="1" w:styleId="123">
    <w:name w:val="bds_more3"/>
    <w:qFormat/>
    <w:uiPriority w:val="99"/>
    <w:rPr>
      <w:rFonts w:ascii="宋体" w:hAnsi="宋体" w:eastAsia="宋体" w:cs="宋体"/>
    </w:rPr>
  </w:style>
  <w:style w:type="character" w:customStyle="1" w:styleId="124">
    <w:name w:val="标题 1 字符"/>
    <w:basedOn w:val="12"/>
    <w:link w:val="2"/>
    <w:qFormat/>
    <w:uiPriority w:val="9"/>
    <w:rPr>
      <w:rFonts w:cs="Calibri"/>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977</Words>
  <Characters>1409</Characters>
  <Lines>6</Lines>
  <Paragraphs>1</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2023-03-20T12:19:00Z</dcterms:created>
  <dc:creator>fj</dc:creator>
  <cp:lastModifiedBy>zhouwei</cp:lastModifiedBy>
  <cp:lastPrinted>2023-05-05T08:37:00Z</cp:lastPrinted>
  <dcterms:modified xsi:type="dcterms:W3CDTF">2025-03-28T02:02:27Z</dcterms:modified>
  <dc:title>2018年北京市鞋类（儿童鞋）产品质量监督抽查方案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2C5692C6B5314654B6204A46087C7FD6_13</vt:lpwstr>
  </property>
  <property fmtid="{D5CDD505-2E9C-101B-9397-08002B2CF9AE}" pid="4" name="KSOTemplateDocerSaveRecord">
    <vt:lpwstr>eyJoZGlkIjoiNDU3ZTZiNjM3YjYzMDgwOGIxYTNlOTMzM2YwNjNiNDIiLCJ1c2VySWQiOiI3MzgyNjQ1ODkifQ==</vt:lpwstr>
  </property>
</Properties>
</file>