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2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号（总第34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号)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21"/>
        <w:gridCol w:w="4000"/>
        <w:gridCol w:w="2717"/>
        <w:gridCol w:w="157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730-2024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保安服务规范 中小学幼儿园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730-2010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748-2024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大规格苗木移植技术规程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748-2010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兽药贮存管理规范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790-2011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856-2024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门楼牌设置规范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856-2012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996-2024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国土空间调查、规划、用途管制用地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分类标准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 996-2013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1034.2-2024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交通噪声污染缓解工程技术规范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第2部分：声屏障措施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1034.2-2013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1205-2024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用能单位能源审计报告编制与审核技术规范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1205-2015、DB11/T 1206-2015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1215-2024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经济型酒店设施与服务规范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1215-2015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1216-2024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旅游饭店温泉设施与服务规范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1216-2015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1231-2024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燃气工业锅炉节能监测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1231-2015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1238-2024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健康体检体征数据元规范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1238-2015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1273-2024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LED交通诱导显示屏技术要求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1273-2015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1641-2024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节能技术改造项目节能量审核指南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1641-2019、DB11/T 1642-2019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2103.10-2024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社会单位和重点场所消防安全管理规范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第10部分：医疗机构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第1部分：通用要求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第2部分：应用平台数据交换格式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第3部分：采集终端功能与性能要求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第4部分：远程应用层通信协议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第5部分：物联网智能表通信协议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2243.6-2024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综合能源多表合一远传抄表监测系统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第6部分：应用技术规程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地震应急演练指南 中小学校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地震灾害风险调查 房屋建筑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餐饮外卖流通绿色包装评价要求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废塑料回收与再生利用管理规范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民用建筑项目节能评审能耗指标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2249-2024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园区能效评价指南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重点用能单位能耗在线监测系统接入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信息安全 人工智能数据安全通用要求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信息安全 人脸识别防对抗样本攻击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测试要求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国土空间生态修复规划实施体检评估规程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基础地理实体分类与代码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城市轨道交通车地通信漏泄波导技术规范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城市轨道交通钢轨踏面维修技术规范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冷拌冷铺乳化沥青混合料路面施工技术规范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城市轨道交通装配式多腔复合结构隧道加固技术规范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2259-2024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钢压延单位产品能源消耗限额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2260-2024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中成药单位产品能源消耗限额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2261-2024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耕地土壤污染状况调查技术规范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2262-2024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金鱼种质资源保护技术规范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2263-2024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拟新增耕地土壤环境质量调查技术规范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2264-2024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水生野生动物收容救护规程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DB11/T 2265-2024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西甜瓜嫁接种苗生产技术规程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DB11/T 2266-2024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乡村振兴大数据 基础数据元与代码集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DB11/T 2267-2024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乡村振兴大数据 信息资源分类与编码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DB11/T 2268-2024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乡村振兴大数据 交换和共享规范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DB11/T 2269-2024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0"/>
                <w:sz w:val="24"/>
                <w:szCs w:val="24"/>
                <w:lang w:val="en-US" w:eastAsia="zh-CN"/>
              </w:rPr>
              <w:t>乡村振兴大数据 发展评价指标体系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生态环境质量遥感监测技术规范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村庄供水站建设导则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地表水体长度和面积遥感监测技术规范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水利行业优质工程质量评价规范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水务工程施工现场安全生产管理导则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2275.1-2024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恶性肿瘤临床研究数据集 第1部分：通则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2275.2-2024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恶性肿瘤临床研究数据集 第2部分：乳腺癌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2275.3-2024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恶性肿瘤临床研究数据集 第3部分：肺癌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2275.4-2024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恶性肿瘤临床研究数据集 第4部分：淋巴瘤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专项体检服务规范 招生体检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健身房服务规范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不可移动文物灾害防御指南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2279-2024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社会单位消防安全评估规范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城市韧性评价导则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社区韧性评价导则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森林火险指标体系和分级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射干林下种植技术规范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湿地植物有害生物绿色防控技术规程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水果生产质量安全控制规范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郁金香种球林下繁育技术规程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园林绿化废弃物热解处理技术规范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园林绿化科普基地建设技术导则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2289-2024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园林绿化生态系统监测网络数据处理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2290-2024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电子证照共享服务系统接入技术要求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" w:eastAsia="zh-CN"/>
              </w:rPr>
              <w:t>28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</w:tbl>
    <w:p>
      <w:pPr>
        <w:pStyle w:val="2"/>
        <w:spacing w:after="0" w:line="400" w:lineRule="exact"/>
        <w:ind w:firstLine="410" w:firstLineChars="129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410" w:firstLineChars="129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cols w:space="720" w:num="1"/>
          <w:docGrid w:type="linesAndChars" w:linePitch="680" w:charSpace="-614"/>
        </w:sectPr>
      </w:pPr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注：以上地方标准文本可登录北京市市场监督管理局网站（scjgj.beijing.gov.cn）查阅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FD46405"/>
    <w:rsid w:val="7FD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2024-07-02T09:45:00Z</dcterms:created>
  <dc:creator>Sky</dc:creator>
  <cp:lastModifiedBy>Sky</cp:lastModifiedBy>
  <dcterms:modified xsi:type="dcterms:W3CDTF">2024-07-02T09:45:48Z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11624C2641AE480DA8296467188F316F_11</vt:lpwstr>
  </property>
</Properties>
</file>