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024DA">
      <w:pPr>
        <w:keepNext w:val="0"/>
        <w:keepLines w:val="0"/>
        <w:widowControl w:val="0"/>
        <w:suppressLineNumbers w:val="0"/>
        <w:adjustRightInd w:val="0"/>
        <w:snapToGrid w:val="0"/>
        <w:spacing w:before="0" w:beforeAutospacing="0" w:after="0" w:afterAutospacing="0" w:line="578" w:lineRule="exact"/>
        <w:ind w:left="0" w:right="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附件2</w:t>
      </w:r>
    </w:p>
    <w:p w14:paraId="4DE39B49">
      <w:pPr>
        <w:keepNext w:val="0"/>
        <w:keepLines w:val="0"/>
        <w:widowControl w:val="0"/>
        <w:suppressLineNumbers w:val="0"/>
        <w:adjustRightInd w:val="0"/>
        <w:snapToGrid w:val="0"/>
        <w:spacing w:before="0" w:beforeAutospacing="0" w:after="0" w:afterAutospacing="0" w:line="578" w:lineRule="exact"/>
        <w:ind w:left="0" w:right="0"/>
        <w:jc w:val="center"/>
        <w:rPr>
          <w:rFonts w:hint="default" w:ascii="Times New Roman" w:hAnsi="Times New Roman" w:eastAsia="方正小标宋简体" w:cs="Times New Roman"/>
          <w:kern w:val="2"/>
          <w:sz w:val="44"/>
          <w:szCs w:val="44"/>
        </w:rPr>
      </w:pPr>
      <w:r>
        <w:rPr>
          <w:rFonts w:hint="eastAsia" w:ascii="方正小标宋简体" w:hAnsi="方正小标宋简体" w:eastAsia="方正小标宋简体" w:cs="方正小标宋简体"/>
          <w:kern w:val="2"/>
          <w:sz w:val="44"/>
          <w:szCs w:val="44"/>
          <w:lang w:val="en-US" w:eastAsia="zh-CN" w:bidi="ar"/>
        </w:rPr>
        <w:t>不合格项目说明</w:t>
      </w:r>
    </w:p>
    <w:p w14:paraId="1E8C9A36">
      <w:pPr>
        <w:keepNext w:val="0"/>
        <w:keepLines w:val="0"/>
        <w:widowControl w:val="0"/>
        <w:suppressLineNumbers w:val="0"/>
        <w:autoSpaceDE w:val="0"/>
        <w:autoSpaceDN w:val="0"/>
        <w:adjustRightInd w:val="0"/>
        <w:spacing w:before="0" w:beforeAutospacing="0" w:after="0" w:afterAutospacing="0" w:line="480" w:lineRule="exact"/>
        <w:ind w:left="0" w:right="0" w:firstLine="640" w:firstLineChars="200"/>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48414862">
      <w:pPr>
        <w:keepNext w:val="0"/>
        <w:keepLines w:val="0"/>
        <w:widowControl w:val="0"/>
        <w:suppressLineNumbers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一、包装标志</w:t>
      </w:r>
    </w:p>
    <w:p w14:paraId="3472E71B">
      <w:pPr>
        <w:keepNext w:val="0"/>
        <w:keepLines w:val="0"/>
        <w:widowControl w:val="0"/>
        <w:suppressLineNumbers w:val="0"/>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包装标志作为通过文字、图形、符号等说明产品质量、使用方法及其他内容的一种信息载体，不仅是生产经营者对产品质量做出的一种承诺，也是对产品性能、用途、注意事项的说明。完整的标识标签不仅可以传递质量安全信息、确保可追溯性、保护知情消费权、指导用户正确使用，同时还可以降低交易成本、规避风险等。在北京市生产和销售的涂料类产品应严格执行北京市地方标准DB11/ 1983-2022中对于包装标志的规定。否则无法判断产品的使用场景进行正确使用，也无法判断产品的VOC含量，易造成不合理使用。</w:t>
      </w:r>
    </w:p>
    <w:p w14:paraId="1D3DA5A3">
      <w:pPr>
        <w:keepNext w:val="0"/>
        <w:keepLines w:val="0"/>
        <w:widowControl w:val="0"/>
        <w:suppressLineNumbers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二、</w:t>
      </w:r>
      <w:r>
        <w:rPr>
          <w:rFonts w:hint="default" w:ascii="Times New Roman" w:hAnsi="Times New Roman" w:eastAsia="黑体" w:cs="Times New Roman"/>
          <w:kern w:val="2"/>
          <w:sz w:val="32"/>
          <w:szCs w:val="32"/>
          <w:lang w:val="en-US" w:eastAsia="zh-CN" w:bidi="ar"/>
        </w:rPr>
        <w:t>VOC</w:t>
      </w:r>
      <w:r>
        <w:rPr>
          <w:rFonts w:hint="eastAsia" w:ascii="黑体" w:hAnsi="宋体" w:eastAsia="黑体" w:cs="黑体"/>
          <w:kern w:val="2"/>
          <w:sz w:val="32"/>
          <w:szCs w:val="32"/>
          <w:lang w:val="en-US" w:eastAsia="zh-CN" w:bidi="ar"/>
        </w:rPr>
        <w:t>含量</w:t>
      </w:r>
    </w:p>
    <w:p w14:paraId="470A8AFD">
      <w:pPr>
        <w:keepNext w:val="0"/>
        <w:keepLines w:val="0"/>
        <w:widowControl w:val="0"/>
        <w:suppressLineNumbers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VOC</w:t>
      </w:r>
      <w:r>
        <w:rPr>
          <w:rFonts w:hint="eastAsia" w:ascii="仿宋_GB2312" w:hAnsi="Times New Roman" w:eastAsia="仿宋_GB2312" w:cs="仿宋_GB2312"/>
          <w:kern w:val="2"/>
          <w:sz w:val="32"/>
          <w:szCs w:val="32"/>
          <w:lang w:val="en-US" w:eastAsia="zh-CN" w:bidi="ar"/>
        </w:rPr>
        <w:t>是挥发性有机化合物的英文缩写，在涂料领域，</w:t>
      </w:r>
      <w:r>
        <w:rPr>
          <w:rFonts w:hint="default" w:ascii="Times New Roman" w:hAnsi="Times New Roman" w:eastAsia="仿宋_GB2312" w:cs="Times New Roman"/>
          <w:kern w:val="2"/>
          <w:sz w:val="32"/>
          <w:szCs w:val="32"/>
          <w:lang w:val="en-US" w:eastAsia="zh-CN" w:bidi="ar"/>
        </w:rPr>
        <w:t>VOC</w:t>
      </w:r>
      <w:r>
        <w:rPr>
          <w:rFonts w:hint="eastAsia" w:ascii="仿宋_GB2312" w:hAnsi="Times New Roman" w:eastAsia="仿宋_GB2312" w:cs="仿宋_GB2312"/>
          <w:kern w:val="2"/>
          <w:sz w:val="32"/>
          <w:szCs w:val="32"/>
          <w:lang w:val="en-US" w:eastAsia="zh-CN" w:bidi="ar"/>
        </w:rPr>
        <w:t>特指在涂装和干燥过程中会挥发到大气中的有机化学物质。</w:t>
      </w:r>
      <w:r>
        <w:rPr>
          <w:rFonts w:hint="default" w:ascii="Times New Roman" w:hAnsi="Times New Roman" w:eastAsia="仿宋_GB2312" w:cs="Times New Roman"/>
          <w:kern w:val="2"/>
          <w:sz w:val="32"/>
          <w:szCs w:val="32"/>
          <w:lang w:val="en-US" w:eastAsia="zh-CN" w:bidi="ar"/>
        </w:rPr>
        <w:t>VOC</w:t>
      </w:r>
      <w:r>
        <w:rPr>
          <w:rFonts w:hint="eastAsia" w:ascii="仿宋_GB2312" w:hAnsi="Times New Roman" w:eastAsia="仿宋_GB2312" w:cs="仿宋_GB2312"/>
          <w:kern w:val="2"/>
          <w:sz w:val="32"/>
          <w:szCs w:val="32"/>
          <w:lang w:val="en-US" w:eastAsia="zh-CN" w:bidi="ar"/>
        </w:rPr>
        <w:t>并非涂料中的有效成分，大多来源于为了实现涂装效果而添加的各类助剂。溶剂是</w:t>
      </w:r>
      <w:r>
        <w:rPr>
          <w:rFonts w:hint="default" w:ascii="Times New Roman" w:hAnsi="Times New Roman" w:eastAsia="仿宋_GB2312" w:cs="Times New Roman"/>
          <w:kern w:val="2"/>
          <w:sz w:val="32"/>
          <w:szCs w:val="32"/>
          <w:lang w:val="en-US" w:eastAsia="zh-CN" w:bidi="ar"/>
        </w:rPr>
        <w:t>VOC</w:t>
      </w:r>
      <w:r>
        <w:rPr>
          <w:rFonts w:hint="eastAsia" w:ascii="仿宋_GB2312" w:hAnsi="Times New Roman" w:eastAsia="仿宋_GB2312" w:cs="仿宋_GB2312"/>
          <w:kern w:val="2"/>
          <w:sz w:val="32"/>
          <w:szCs w:val="32"/>
          <w:lang w:val="en-US" w:eastAsia="zh-CN" w:bidi="ar"/>
        </w:rPr>
        <w:t>的最大来源，用于溶解树脂，调整涂料粘度，使其易于施工；各种助剂也是</w:t>
      </w:r>
      <w:r>
        <w:rPr>
          <w:rFonts w:hint="default" w:ascii="Times New Roman" w:hAnsi="Times New Roman" w:eastAsia="仿宋_GB2312" w:cs="Times New Roman"/>
          <w:kern w:val="2"/>
          <w:sz w:val="32"/>
          <w:szCs w:val="32"/>
          <w:lang w:val="en-US" w:eastAsia="zh-CN" w:bidi="ar"/>
        </w:rPr>
        <w:t>VOC</w:t>
      </w:r>
      <w:r>
        <w:rPr>
          <w:rFonts w:hint="eastAsia" w:ascii="仿宋_GB2312" w:hAnsi="Times New Roman" w:eastAsia="仿宋_GB2312" w:cs="仿宋_GB2312"/>
          <w:kern w:val="2"/>
          <w:sz w:val="32"/>
          <w:szCs w:val="32"/>
          <w:lang w:val="en-US" w:eastAsia="zh-CN" w:bidi="ar"/>
        </w:rPr>
        <w:t>的来源。</w:t>
      </w:r>
      <w:r>
        <w:rPr>
          <w:rFonts w:hint="default" w:ascii="Times New Roman" w:hAnsi="Times New Roman" w:eastAsia="仿宋_GB2312" w:cs="Times New Roman"/>
          <w:kern w:val="2"/>
          <w:sz w:val="32"/>
          <w:szCs w:val="32"/>
          <w:lang w:val="en-US" w:eastAsia="zh-CN" w:bidi="ar"/>
        </w:rPr>
        <w:t>VOC</w:t>
      </w:r>
      <w:r>
        <w:rPr>
          <w:rFonts w:hint="eastAsia" w:ascii="仿宋_GB2312" w:hAnsi="Times New Roman" w:eastAsia="仿宋_GB2312" w:cs="仿宋_GB2312"/>
          <w:kern w:val="2"/>
          <w:sz w:val="32"/>
          <w:szCs w:val="32"/>
          <w:lang w:val="en-US" w:eastAsia="zh-CN" w:bidi="ar"/>
        </w:rPr>
        <w:t>对环境和人体健康造成重要威胁。室内环境中</w:t>
      </w:r>
      <w:r>
        <w:rPr>
          <w:rFonts w:hint="default" w:ascii="Times New Roman" w:hAnsi="Times New Roman" w:eastAsia="仿宋_GB2312" w:cs="Times New Roman"/>
          <w:kern w:val="2"/>
          <w:sz w:val="32"/>
          <w:szCs w:val="32"/>
          <w:lang w:val="en-US" w:eastAsia="zh-CN" w:bidi="ar"/>
        </w:rPr>
        <w:t>VOC</w:t>
      </w:r>
      <w:r>
        <w:rPr>
          <w:rFonts w:hint="eastAsia" w:ascii="仿宋_GB2312" w:hAnsi="Times New Roman" w:eastAsia="仿宋_GB2312" w:cs="仿宋_GB2312"/>
          <w:kern w:val="2"/>
          <w:sz w:val="32"/>
          <w:szCs w:val="32"/>
          <w:lang w:val="en-US" w:eastAsia="zh-CN" w:bidi="ar"/>
        </w:rPr>
        <w:t>可能引发一系列健康问题，如急性中毒、昏迷、抽搐等，严重时甚至可能损害内脏、大脑和神经系统。</w:t>
      </w:r>
    </w:p>
    <w:p w14:paraId="370E7BA9">
      <w:pPr>
        <w:keepNext w:val="0"/>
        <w:keepLines w:val="0"/>
        <w:widowControl w:val="0"/>
        <w:suppressLineNumbers w:val="0"/>
        <w:autoSpaceDE w:val="0"/>
        <w:autoSpaceDN w:val="0"/>
        <w:adjustRightIn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三、不挥发物含量</w:t>
      </w:r>
    </w:p>
    <w:p w14:paraId="483E2444">
      <w:pPr>
        <w:keepNext w:val="0"/>
        <w:keepLines w:val="0"/>
        <w:widowControl w:val="0"/>
        <w:suppressLineNumbers w:val="0"/>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不挥发物是工业防护涂料基本的物理性能，指在特定的情况下，物质中的液体不能蒸发变为气体排出的部分。不挥发物含量不合格可能会导致现场涂层厚度不符合设计规范，从而进一步影响产品使用寿命；另一方面说明溶剂或者水加多了，可能会影响成膜物质性能。</w:t>
      </w:r>
    </w:p>
    <w:p w14:paraId="0708365C">
      <w:pPr>
        <w:keepNext w:val="0"/>
        <w:keepLines w:val="0"/>
        <w:widowControl w:val="0"/>
        <w:suppressLineNumbers w:val="0"/>
        <w:autoSpaceDE w:val="0"/>
        <w:autoSpaceDN w:val="0"/>
        <w:adjustRightIn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四、多环芳烃总和含量（限萘、蒽）</w:t>
      </w:r>
    </w:p>
    <w:p w14:paraId="1E8A9121">
      <w:pPr>
        <w:keepNext w:val="0"/>
        <w:keepLines w:val="0"/>
        <w:widowControl w:val="0"/>
        <w:suppressLineNumbers w:val="0"/>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涂料中常常含有多种有机溶剂，而有机溶剂中存在的多环芳烃是一种可致癌物质。如果涂料中的多环芳烃超标，会给使用者的身体健康带来威胁。造成涂料中多环芳烃超标的原因往往是因为生产工艺不合理、使用过量以及选择挥发性成分高的原材料等。</w:t>
      </w:r>
    </w:p>
    <w:p w14:paraId="59D91809">
      <w:pPr>
        <w:keepNext w:val="0"/>
        <w:keepLines w:val="0"/>
        <w:widowControl w:val="0"/>
        <w:suppressLineNumbers w:val="0"/>
        <w:autoSpaceDE w:val="0"/>
        <w:autoSpaceDN w:val="0"/>
        <w:adjustRightIn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五、拉伸模量</w:t>
      </w:r>
    </w:p>
    <w:p w14:paraId="6A98BF16">
      <w:pPr>
        <w:keepNext w:val="0"/>
        <w:keepLines w:val="0"/>
        <w:widowControl w:val="0"/>
        <w:suppressLineNumbers w:val="0"/>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密封胶的拉伸模量是指材料在拉伸时的应力与相应应变之比，它反映了材料抵抗拉伸变形的能力。造成此项目不合格的原因：（1）企业对标准不熟,对高模量、低模量概念不清；（2）企业为了降低成本，过量加入填料，主要原料107胶少加，导致密封胶的强度增强，模量增大。拉伸模量不符合标准的要求，容易使产品在不适宜的场景错误使用，易被拉裂或粘接破坏，导致使用寿命缩短、功能失效，属于配方设计及生产制造过程导致的产品质量缺陷。</w:t>
      </w:r>
    </w:p>
    <w:p w14:paraId="62EB8305">
      <w:pPr>
        <w:keepNext w:val="0"/>
        <w:keepLines w:val="0"/>
        <w:widowControl w:val="0"/>
        <w:suppressLineNumbers w:val="0"/>
        <w:autoSpaceDE w:val="0"/>
        <w:autoSpaceDN w:val="0"/>
        <w:adjustRightIn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六、弹性恢复率和浸水后定伸粘结性</w:t>
      </w:r>
    </w:p>
    <w:p w14:paraId="12203AD7">
      <w:pPr>
        <w:keepNext w:val="0"/>
        <w:keepLines w:val="0"/>
        <w:widowControl w:val="0"/>
        <w:suppressLineNumbers w:val="0"/>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密封胶的弹性恢复率和浸水后定伸粘结性是评价密封胶粘结性和弹性的基本力学性能。这些项目不合格的原因可能为：生产商为降低成本而加入过量的增塑剂，导致产品弹性不达标，可能导致产品在遭受各种形变场景时应用性能不足，特别是在遇水或潮湿的使用场景中，容易出现内部开裂或与基材脱离，使用寿命也将缩短，属于配方设计及生产制造过程导致的产品质量缺陷。</w:t>
      </w:r>
    </w:p>
    <w:p w14:paraId="2B8D9585">
      <w:pPr>
        <w:keepNext w:val="0"/>
        <w:keepLines w:val="0"/>
        <w:widowControl w:val="0"/>
        <w:suppressLineNumbers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七、耐洗刷性</w:t>
      </w:r>
    </w:p>
    <w:p w14:paraId="2FC5DDBD">
      <w:pPr>
        <w:keepNext w:val="0"/>
        <w:keepLines w:val="0"/>
        <w:widowControl w:val="0"/>
        <w:suppressLineNumbers w:val="0"/>
        <w:spacing w:before="0" w:beforeAutospacing="0" w:after="0" w:afterAutospacing="0" w:line="578" w:lineRule="exact"/>
        <w:ind w:left="0" w:right="0" w:firstLine="640" w:firstLineChars="200"/>
        <w:jc w:val="both"/>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耐洗刷性是衡量涂料质量的重要指标之一，</w:t>
      </w:r>
      <w:r>
        <w:rPr>
          <w:rFonts w:hint="eastAsia" w:ascii="MS Gothic" w:hAnsi="MS Gothic" w:eastAsia="MS Gothic" w:cs="MS Gothic"/>
          <w:kern w:val="2"/>
          <w:sz w:val="32"/>
          <w:szCs w:val="32"/>
          <w:lang w:val="en-US" w:eastAsia="zh-CN" w:bidi="ar"/>
        </w:rPr>
        <w:t>‌</w:t>
      </w:r>
      <w:r>
        <w:rPr>
          <w:rFonts w:hint="eastAsia" w:ascii="仿宋_GB2312" w:hAnsi="Times New Roman" w:eastAsia="仿宋_GB2312" w:cs="仿宋_GB2312"/>
          <w:kern w:val="2"/>
          <w:sz w:val="32"/>
          <w:szCs w:val="32"/>
          <w:lang w:val="en-US" w:eastAsia="zh-CN" w:bidi="ar"/>
        </w:rPr>
        <w:t>耐洗刷性影响涂料产品使用寿命，不合格的耐洗刷性可能导致墙面在使用过程中出现剥落、</w:t>
      </w:r>
      <w:r>
        <w:rPr>
          <w:rFonts w:hint="eastAsia" w:ascii="MS Gothic" w:hAnsi="MS Gothic" w:eastAsia="MS Gothic" w:cs="MS Gothic"/>
          <w:kern w:val="2"/>
          <w:sz w:val="32"/>
          <w:szCs w:val="32"/>
          <w:lang w:val="en-US" w:eastAsia="zh-CN" w:bidi="ar"/>
        </w:rPr>
        <w:t>‌</w:t>
      </w:r>
      <w:r>
        <w:rPr>
          <w:rFonts w:hint="eastAsia" w:ascii="仿宋_GB2312" w:hAnsi="Times New Roman" w:eastAsia="仿宋_GB2312" w:cs="仿宋_GB2312"/>
          <w:kern w:val="2"/>
          <w:sz w:val="32"/>
          <w:szCs w:val="32"/>
          <w:lang w:val="en-US" w:eastAsia="zh-CN" w:bidi="ar"/>
        </w:rPr>
        <w:t>掉粉等现象，</w:t>
      </w:r>
      <w:r>
        <w:rPr>
          <w:rFonts w:hint="eastAsia" w:ascii="MS Gothic" w:hAnsi="MS Gothic" w:eastAsia="MS Gothic" w:cs="MS Gothic"/>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影响墙面的美观和保护功能。该项目不合格的原因是</w:t>
      </w:r>
      <w:r>
        <w:rPr>
          <w:rFonts w:hint="eastAsia" w:ascii="MS Gothic" w:hAnsi="MS Gothic" w:eastAsia="MS Gothic" w:cs="MS Gothic"/>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部分企业为了降低成本，</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在生产过程中减少乳液和钛白粉的加入量或是选用价廉质次的原材料，</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导致涂料的耐洗刷性质量下降。</w:t>
      </w:r>
      <w:r>
        <w:rPr>
          <w:rFonts w:hint="default" w:ascii="Times New Roman" w:hAnsi="Times New Roman" w:eastAsia="仿宋_GB2312" w:cs="Times New Roman"/>
          <w:kern w:val="2"/>
          <w:sz w:val="32"/>
          <w:szCs w:val="32"/>
          <w:lang w:val="en-US" w:eastAsia="zh-CN" w:bidi="ar"/>
        </w:rPr>
        <w:t>‌</w:t>
      </w:r>
    </w:p>
    <w:p w14:paraId="4E3EBD0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71690"/>
    <w:rsid w:val="18B71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2026-10-27T08:56:00Z</dcterms:created>
  <dc:creator>沈锎洋</dc:creator>
  <cp:lastModifiedBy>沈锎洋</cp:lastModifiedBy>
  <dcterms:modified xsi:type="dcterms:W3CDTF">2026-10-27T08:57:06Z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D78C6763E9784A0DAF080E85B25CDF5B_11</vt:lpwstr>
  </property>
  <property fmtid="{D5CDD505-2E9C-101B-9397-08002B2CF9AE}" pid="4" name="KSOTemplateDocerSaveRecord">
    <vt:lpwstr>eyJoZGlkIjoiOGVkNDFlN2I1NTdkZmE5NjhjZGE3NDFkMWJmZDlkMjgiLCJ1c2VySWQiOiIxNjU3Mjc0OTIxIn0=</vt:lpwstr>
  </property>
</Properties>
</file>