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43F21">
      <w:pPr>
        <w:adjustRightInd w:val="0"/>
        <w:snapToGrid w:val="0"/>
        <w:spacing w:line="560" w:lineRule="exact"/>
        <w:rPr>
          <w:rFonts w:eastAsia="黑体"/>
          <w:sz w:val="32"/>
          <w:szCs w:val="32"/>
        </w:rPr>
      </w:pPr>
      <w:r>
        <w:rPr>
          <w:rFonts w:eastAsia="黑体"/>
          <w:sz w:val="32"/>
          <w:szCs w:val="32"/>
        </w:rPr>
        <w:t>附件</w:t>
      </w:r>
      <w:r>
        <w:rPr>
          <w:rFonts w:hint="eastAsia" w:eastAsia="黑体"/>
          <w:sz w:val="32"/>
          <w:szCs w:val="32"/>
        </w:rPr>
        <w:t>2</w:t>
      </w:r>
    </w:p>
    <w:p w14:paraId="3D7538EF">
      <w:pPr>
        <w:adjustRightInd w:val="0"/>
        <w:snapToGrid w:val="0"/>
        <w:spacing w:line="578" w:lineRule="exact"/>
        <w:jc w:val="center"/>
        <w:rPr>
          <w:rFonts w:eastAsia="方正小标宋简体" w:asciiTheme="minorHAnsi" w:hAnsiTheme="minorHAnsi" w:cstheme="minorBidi"/>
          <w:sz w:val="44"/>
          <w:szCs w:val="44"/>
        </w:rPr>
      </w:pPr>
      <w:bookmarkStart w:id="0" w:name="_GoBack"/>
      <w:r>
        <w:rPr>
          <w:rFonts w:hint="eastAsia" w:eastAsia="方正小标宋简体" w:asciiTheme="minorHAnsi" w:hAnsiTheme="minorHAnsi" w:cstheme="minorBidi"/>
          <w:sz w:val="44"/>
          <w:szCs w:val="44"/>
        </w:rPr>
        <w:t>不合格项目说明</w:t>
      </w:r>
      <w:bookmarkEnd w:id="0"/>
    </w:p>
    <w:p w14:paraId="745E69C0">
      <w:pPr>
        <w:numPr>
          <w:ilvl w:val="-1"/>
          <w:numId w:val="0"/>
        </w:numPr>
        <w:autoSpaceDE/>
        <w:autoSpaceDN/>
        <w:adjustRightInd/>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摩托车、电动自行车头盔</w:t>
      </w:r>
    </w:p>
    <w:p w14:paraId="679CB0CF">
      <w:pPr>
        <w:autoSpaceDE w:val="0"/>
        <w:autoSpaceDN w:val="0"/>
        <w:adjustRightInd w:val="0"/>
        <w:spacing w:line="520" w:lineRule="exact"/>
        <w:ind w:firstLine="600" w:firstLineChars="200"/>
        <w:rPr>
          <w:rFonts w:hint="eastAsia" w:ascii="楷体_GB2312" w:hAnsi="楷体_GB2312" w:eastAsia="楷体_GB2312" w:cs="楷体_GB2312"/>
          <w:sz w:val="30"/>
          <w:szCs w:val="30"/>
          <w:lang w:eastAsia="zh-CN"/>
        </w:rPr>
      </w:pPr>
      <w:r>
        <w:rPr>
          <w:rFonts w:hint="eastAsia" w:ascii="楷体_GB2312" w:hAnsi="楷体_GB2312" w:eastAsia="楷体_GB2312" w:cs="楷体_GB2312"/>
          <w:sz w:val="30"/>
          <w:szCs w:val="30"/>
          <w:lang w:val="en-US" w:eastAsia="zh-CN"/>
        </w:rPr>
        <w:t>（一）</w:t>
      </w:r>
      <w:r>
        <w:rPr>
          <w:rFonts w:hint="eastAsia" w:ascii="楷体_GB2312" w:hAnsi="楷体_GB2312" w:eastAsia="楷体_GB2312" w:cs="楷体_GB2312"/>
          <w:sz w:val="30"/>
          <w:szCs w:val="30"/>
          <w:lang w:eastAsia="zh-CN"/>
        </w:rPr>
        <w:t>固定装置稳定性项目</w:t>
      </w:r>
    </w:p>
    <w:p w14:paraId="2CC70956">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固定装置稳定性项目是摩托车、电动自行车乘员头盔重要的安全技术指标，该技术指标与头盔整体设计、零部件选择等密切相关，GB 811-2022《摩托车、电动自行车乘员头盔》标准规定，按照6.9规定的方法进行测试，A3类型头盔的转动角度不应大于30°。不合格产品实测结果：头盔从头型上脱落，头盔的转动角度大于30°</w:t>
      </w:r>
      <w:r>
        <w:rPr>
          <w:rFonts w:hint="eastAsia" w:ascii="仿宋_GB2312" w:eastAsia="仿宋_GB2312"/>
          <w:sz w:val="32"/>
          <w:szCs w:val="32"/>
          <w:lang w:eastAsia="zh-CN"/>
        </w:rPr>
        <w:t>；</w:t>
      </w:r>
      <w:r>
        <w:rPr>
          <w:rFonts w:hint="eastAsia" w:ascii="仿宋_GB2312" w:eastAsia="仿宋_GB2312"/>
          <w:sz w:val="32"/>
          <w:szCs w:val="32"/>
        </w:rPr>
        <w:t>在碰撞发生时可导致头盔脱离佩戴者头部，造成头盔防护功能的失效，使得佩戴者</w:t>
      </w:r>
      <w:r>
        <w:rPr>
          <w:rFonts w:hint="eastAsia" w:ascii="仿宋_GB2312" w:eastAsia="仿宋_GB2312"/>
          <w:sz w:val="32"/>
          <w:szCs w:val="32"/>
          <w:lang w:eastAsia="zh-CN"/>
        </w:rPr>
        <w:t>受伤</w:t>
      </w:r>
      <w:r>
        <w:rPr>
          <w:rFonts w:hint="eastAsia" w:ascii="仿宋_GB2312" w:eastAsia="仿宋_GB2312"/>
          <w:sz w:val="32"/>
          <w:szCs w:val="32"/>
        </w:rPr>
        <w:t>风险增加。</w:t>
      </w:r>
    </w:p>
    <w:p w14:paraId="1EC95106">
      <w:pPr>
        <w:autoSpaceDE w:val="0"/>
        <w:autoSpaceDN w:val="0"/>
        <w:adjustRightInd w:val="0"/>
        <w:spacing w:line="520"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（二）吸收碰撞能量</w:t>
      </w:r>
    </w:p>
    <w:p w14:paraId="67E7AEE3">
      <w:pPr>
        <w:spacing w:line="578" w:lineRule="exact"/>
        <w:ind w:firstLine="640" w:firstLineChars="200"/>
        <w:rPr>
          <w:rFonts w:hint="eastAsia" w:ascii="仿宋_GB2312" w:eastAsia="仿宋_GB2312"/>
          <w:sz w:val="32"/>
          <w:szCs w:val="32"/>
          <w:highlight w:val="none"/>
        </w:rPr>
      </w:pPr>
      <w:r>
        <w:rPr>
          <w:rFonts w:hint="eastAsia" w:ascii="仿宋_GB2312" w:eastAsia="仿宋_GB2312"/>
          <w:sz w:val="32"/>
          <w:szCs w:val="32"/>
        </w:rPr>
        <w:t>吸收碰撞能量是摩托车、电动自行车乘员头盔重要的安全技术指标，该技术指标与头盔整体设计、零部件选择等密切相关，GB 811-2022《摩托车、电动自行车乘员头盔》标准规定，按照6.11规定的方法进行试验，A3类型头盔应符合以下技术要求：（1）加速度峰值≤400g；（2）加速度超过150g的作用时间≤4 ms；（3）加速度超过200g的作用时间≤2ms（加速度峰值不超过300g时，此项不作要求）；（4）试验完成后，壳体无明显的碎片脱落（容易脱落的部件除外）。</w:t>
      </w:r>
      <w:r>
        <w:rPr>
          <w:rFonts w:hint="eastAsia" w:ascii="仿宋_GB2312" w:eastAsia="仿宋_GB2312"/>
          <w:sz w:val="32"/>
          <w:szCs w:val="32"/>
          <w:highlight w:val="none"/>
        </w:rPr>
        <w:t>不合格产品实测结果：加速度峰值超过400g；当碰撞发生时产品不能对使用者头部提供必要的防护，可直接危及使用者生命安全。</w:t>
      </w:r>
    </w:p>
    <w:p w14:paraId="486A1845">
      <w:pPr>
        <w:numPr>
          <w:ilvl w:val="0"/>
          <w:numId w:val="1"/>
        </w:numPr>
        <w:autoSpaceDE w:val="0"/>
        <w:autoSpaceDN w:val="0"/>
        <w:adjustRightInd w:val="0"/>
        <w:spacing w:line="578"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眼镜、镜及类似品</w:t>
      </w:r>
    </w:p>
    <w:p w14:paraId="5C5BC982">
      <w:pPr>
        <w:keepNext w:val="0"/>
        <w:keepLines w:val="0"/>
        <w:pageBreakBefore w:val="0"/>
        <w:widowControl w:val="0"/>
        <w:kinsoku/>
        <w:wordWrap/>
        <w:overflowPunct/>
        <w:topLinePunct w:val="0"/>
        <w:autoSpaceDE w:val="0"/>
        <w:autoSpaceDN w:val="0"/>
        <w:bidi w:val="0"/>
        <w:adjustRightInd w:val="0"/>
        <w:spacing w:line="578" w:lineRule="exact"/>
        <w:ind w:right="0" w:rightChars="0" w:firstLine="600" w:firstLineChars="200"/>
        <w:textAlignment w:val="auto"/>
        <w:outlineLvl w:val="9"/>
        <w:rPr>
          <w:rFonts w:hint="eastAsia" w:eastAsia="黑体"/>
          <w:sz w:val="30"/>
          <w:szCs w:val="30"/>
        </w:rPr>
      </w:pPr>
      <w:r>
        <w:rPr>
          <w:rFonts w:hint="eastAsia" w:ascii="楷体_GB2312" w:hAnsi="楷体_GB2312" w:eastAsia="楷体_GB2312" w:cs="楷体_GB2312"/>
          <w:sz w:val="30"/>
          <w:szCs w:val="30"/>
          <w:lang w:val="en-US" w:eastAsia="zh-CN"/>
        </w:rPr>
        <w:t>（一）光学中心单侧水平偏差</w:t>
      </w:r>
    </w:p>
    <w:p w14:paraId="111C6EF2">
      <w:pPr>
        <w:widowControl/>
        <w:numPr>
          <w:ilvl w:val="-1"/>
          <w:numId w:val="0"/>
        </w:numPr>
        <w:wordWrap/>
        <w:adjustRightInd/>
        <w:snapToGrid/>
        <w:spacing w:line="578" w:lineRule="exact"/>
        <w:ind w:left="0" w:leftChars="0" w:right="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光学中心单侧水平偏差是配装眼镜、老视成镜的重要光学性能指标之一，会直接影响使用者的佩戴舒适度。当产品为配装眼镜时，GB 13511.1《配装眼镜 第1部分：单光和多焦点》对光学中心单侧水平偏差进行了规定，标准要求配装眼镜的水平光学中心与眼瞳的单侧偏差均不应大于标准中表1中光学中心水平距离允差的二分之一；对于老视成镜，GB 13511.1《配装眼镜 第1部分：单光和多焦点》、GB/T 13511.3《配装眼镜 第3部分：单光老视成镜》对光学中心单侧水平偏差进行了规定，标准要求老视成镜光学中心单侧水平允差为±1.0mm。</w:t>
      </w:r>
    </w:p>
    <w:p w14:paraId="7EE4897B">
      <w:pPr>
        <w:keepNext w:val="0"/>
        <w:keepLines w:val="0"/>
        <w:pageBreakBefore w:val="0"/>
        <w:widowControl w:val="0"/>
        <w:kinsoku/>
        <w:wordWrap/>
        <w:overflowPunct/>
        <w:topLinePunct w:val="0"/>
        <w:autoSpaceDE w:val="0"/>
        <w:autoSpaceDN w:val="0"/>
        <w:bidi w:val="0"/>
        <w:adjustRightInd w:val="0"/>
        <w:spacing w:line="578" w:lineRule="exact"/>
        <w:ind w:right="0" w:rightChars="0" w:firstLine="600" w:firstLineChars="200"/>
        <w:textAlignment w:val="auto"/>
        <w:outlineLvl w:val="9"/>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（二）光学中心垂直互差</w:t>
      </w:r>
    </w:p>
    <w:p w14:paraId="25DF0A71">
      <w:pPr>
        <w:keepNext w:val="0"/>
        <w:keepLines w:val="0"/>
        <w:pageBreakBefore w:val="0"/>
        <w:widowControl/>
        <w:numPr>
          <w:ilvl w:val="0"/>
          <w:numId w:val="0"/>
        </w:numPr>
        <w:kinsoku/>
        <w:wordWrap/>
        <w:overflowPunct/>
        <w:topLinePunct w:val="0"/>
        <w:bidi w:val="0"/>
        <w:snapToGrid/>
        <w:spacing w:line="578" w:lineRule="exact"/>
        <w:ind w:left="0" w:leftChars="0" w:right="0" w:rightChars="0" w:firstLine="640" w:firstLineChars="200"/>
        <w:jc w:val="left"/>
        <w:textAlignment w:val="auto"/>
        <w:outlineLvl w:val="9"/>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光学中心垂直互差是指两镜片光学中心高度的差值，它表现为左、右两镜片的光学中心的高度不一致，差距过大。作为配装眼镜、老视成镜的重要光学性能指标之一。当产品为配装眼镜、以及明示执行标准为GB 13511.1- 2011的老视成镜，GB 13511.1《配装眼镜 第1部分：单光和多焦点》对光学中心垂直互差进行了规定，标准要求老视成镜光学中心垂直互差应符合表1规定；当老视成镜明示执行标准为GB/T 13511.3-2019《配装眼镜 第3部分：单光老视成镜》时，</w:t>
      </w:r>
      <w:r>
        <w:rPr>
          <w:rFonts w:hint="eastAsia" w:ascii="仿宋_GB2312" w:eastAsia="仿宋_GB2312" w:cs="Times New Roman"/>
          <w:kern w:val="2"/>
          <w:sz w:val="32"/>
          <w:szCs w:val="32"/>
          <w:lang w:val="en-US" w:eastAsia="zh-CN" w:bidi="ar-SA"/>
        </w:rPr>
        <w:t>标准</w:t>
      </w:r>
      <w:r>
        <w:rPr>
          <w:rFonts w:hint="eastAsia" w:ascii="仿宋_GB2312" w:hAnsi="Times New Roman" w:eastAsia="仿宋_GB2312" w:cs="Times New Roman"/>
          <w:kern w:val="2"/>
          <w:sz w:val="32"/>
          <w:szCs w:val="32"/>
          <w:lang w:val="en-US" w:eastAsia="zh-CN" w:bidi="ar-SA"/>
        </w:rPr>
        <w:t>对光学中心垂直互差进行了规定，要求老视成镜光学中心垂直互差≤1.0mm。</w:t>
      </w:r>
      <w:r>
        <w:rPr>
          <w:rFonts w:hint="eastAsia" w:ascii="Times New Roman" w:hAnsi="Times New Roman" w:eastAsia="仿宋_GB2312" w:cs="Times New Roman"/>
          <w:kern w:val="2"/>
          <w:sz w:val="32"/>
          <w:szCs w:val="32"/>
          <w:lang w:val="en-US" w:eastAsia="zh-CN" w:bidi="ar-SA"/>
        </w:rPr>
        <w:t>配戴光学中心垂直互差项目不合格的眼镜会造成不同程度的头晕、恶心、视力下降等不良影响。</w:t>
      </w:r>
    </w:p>
    <w:p w14:paraId="08673715">
      <w:pPr>
        <w:spacing w:line="578" w:lineRule="exact"/>
        <w:ind w:firstLine="600" w:firstLineChars="200"/>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sz w:val="30"/>
          <w:szCs w:val="30"/>
          <w:lang w:val="en-US" w:eastAsia="zh-CN"/>
        </w:rPr>
        <w:t>（三）镜片顶焦度</w:t>
      </w:r>
    </w:p>
    <w:p w14:paraId="27A309EE">
      <w:pPr>
        <w:spacing w:line="578" w:lineRule="exact"/>
        <w:ind w:firstLine="640" w:firstLineChars="200"/>
        <w:rPr>
          <w:rFonts w:hint="eastAsia" w:ascii="仿宋_GB2312" w:eastAsia="仿宋_GB2312"/>
          <w:sz w:val="32"/>
          <w:szCs w:val="32"/>
          <w:lang w:val="en-US" w:eastAsia="zh-CN"/>
        </w:rPr>
      </w:pPr>
      <w:r>
        <w:rPr>
          <w:rFonts w:hint="eastAsia" w:ascii="仿宋_GB2312" w:hAnsi="Times New Roman" w:eastAsia="仿宋_GB2312" w:cs="Times New Roman"/>
          <w:kern w:val="2"/>
          <w:sz w:val="32"/>
          <w:szCs w:val="32"/>
          <w:lang w:val="en-US" w:eastAsia="zh-CN" w:bidi="ar-SA"/>
        </w:rPr>
        <w:t>镜片顶焦度作为配装眼镜、老视成镜的重要光学指标之一，会直接影响使用者的清晰度和佩戴舒适度。GB 10810.1《眼镜镜片 第1部</w:t>
      </w:r>
      <w:r>
        <w:rPr>
          <w:rFonts w:hint="default" w:ascii="Times New Roman" w:hAnsi="Times New Roman" w:eastAsia="仿宋_GB2312" w:cs="Times New Roman"/>
          <w:kern w:val="2"/>
          <w:sz w:val="32"/>
          <w:szCs w:val="32"/>
          <w:lang w:val="en-US" w:eastAsia="zh-CN" w:bidi="ar-SA"/>
        </w:rPr>
        <w:t>分：单光和多焦点</w:t>
      </w:r>
      <w:r>
        <w:rPr>
          <w:rFonts w:hint="eastAsia" w:ascii="Times New Roman" w:hAnsi="Times New Roman" w:eastAsia="仿宋_GB2312" w:cs="Times New Roman"/>
          <w:kern w:val="2"/>
          <w:sz w:val="32"/>
          <w:szCs w:val="32"/>
          <w:lang w:val="en-US" w:eastAsia="zh-CN" w:bidi="ar-SA"/>
        </w:rPr>
        <w:t>镜片</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对眼镜的镜片顶焦度进行了规定，标准要求眼镜镜片顶焦度应符合表</w:t>
      </w:r>
      <w:r>
        <w:rPr>
          <w:rFonts w:hint="eastAsia" w:ascii="CESI仿宋-GB2312" w:hAnsi="CESI仿宋-GB2312" w:eastAsia="CESI仿宋-GB2312" w:cs="CESI仿宋-GB2312"/>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规定。</w:t>
      </w:r>
      <w:r>
        <w:rPr>
          <w:rFonts w:hint="eastAsia" w:ascii="仿宋_GB2312" w:eastAsia="仿宋_GB2312"/>
          <w:sz w:val="32"/>
          <w:szCs w:val="32"/>
          <w:lang w:val="en-US" w:eastAsia="zh-CN"/>
        </w:rPr>
        <w:t>镜片顶焦度不合格，可能会导致看东西模糊、视物变形、重影等,长时间佩戴容易引发眼疲劳。</w:t>
      </w:r>
    </w:p>
    <w:p w14:paraId="1AEFF85E">
      <w:pPr>
        <w:wordWrap/>
        <w:snapToGrid/>
        <w:spacing w:line="578" w:lineRule="exact"/>
        <w:ind w:left="0" w:leftChars="0" w:right="0" w:firstLine="0" w:firstLineChars="0"/>
        <w:jc w:val="both"/>
        <w:textAlignment w:val="auto"/>
        <w:outlineLvl w:val="9"/>
        <w:rPr>
          <w:rFonts w:hint="eastAsia" w:ascii="Times New Roman" w:hAnsi="Times New Roman" w:eastAsia="仿宋_GB2312" w:cs="Times New Roman"/>
          <w:kern w:val="2"/>
          <w:sz w:val="28"/>
          <w:szCs w:val="28"/>
          <w:lang w:val="en-US" w:eastAsia="zh-CN" w:bidi="ar-SA"/>
        </w:rPr>
      </w:pPr>
    </w:p>
    <w:p w14:paraId="4CE9896A">
      <w:pPr>
        <w:wordWrap/>
        <w:snapToGrid/>
        <w:spacing w:line="578" w:lineRule="exact"/>
        <w:ind w:left="0" w:leftChars="0" w:right="0" w:firstLine="2520" w:firstLineChars="900"/>
        <w:jc w:val="both"/>
        <w:textAlignment w:val="auto"/>
        <w:outlineLvl w:val="9"/>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表</w:t>
      </w:r>
      <w:r>
        <w:rPr>
          <w:rFonts w:hint="eastAsia" w:ascii="CESI仿宋-GB2312" w:hAnsi="CESI仿宋-GB2312" w:eastAsia="CESI仿宋-GB2312" w:cs="CESI仿宋-GB2312"/>
          <w:kern w:val="2"/>
          <w:sz w:val="28"/>
          <w:szCs w:val="28"/>
          <w:lang w:val="en-US" w:eastAsia="zh-CN" w:bidi="ar-SA"/>
        </w:rPr>
        <w:t>1</w:t>
      </w:r>
      <w:r>
        <w:rPr>
          <w:rFonts w:hint="eastAsia" w:ascii="Times New Roman" w:hAnsi="Times New Roman" w:eastAsia="仿宋_GB2312" w:cs="Times New Roman"/>
          <w:kern w:val="2"/>
          <w:sz w:val="28"/>
          <w:szCs w:val="28"/>
          <w:lang w:val="en-US" w:eastAsia="zh-CN" w:bidi="ar-SA"/>
        </w:rPr>
        <w:t xml:space="preserve"> </w:t>
      </w:r>
      <w:r>
        <w:rPr>
          <w:rFonts w:hint="eastAsia" w:eastAsia="仿宋_GB2312" w:cs="Times New Roman"/>
          <w:kern w:val="2"/>
          <w:sz w:val="28"/>
          <w:szCs w:val="28"/>
          <w:lang w:val="en-US" w:eastAsia="zh-CN" w:bidi="ar-SA"/>
        </w:rPr>
        <w:t xml:space="preserve">       </w:t>
      </w:r>
      <w:r>
        <w:rPr>
          <w:rFonts w:hint="eastAsia" w:ascii="Times New Roman" w:hAnsi="Times New Roman" w:eastAsia="仿宋_GB2312" w:cs="Times New Roman"/>
          <w:kern w:val="2"/>
          <w:sz w:val="28"/>
          <w:szCs w:val="28"/>
          <w:lang w:val="en-US" w:eastAsia="zh-CN" w:bidi="ar-SA"/>
        </w:rPr>
        <w:t>镜片顶焦度允差</w:t>
      </w:r>
    </w:p>
    <w:tbl>
      <w:tblPr>
        <w:tblStyle w:val="2"/>
        <w:tblW w:w="9151" w:type="dxa"/>
        <w:tblInd w:w="-14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3"/>
        <w:gridCol w:w="1275"/>
        <w:gridCol w:w="1620"/>
        <w:gridCol w:w="1620"/>
        <w:gridCol w:w="1680"/>
        <w:gridCol w:w="1063"/>
      </w:tblGrid>
      <w:tr w14:paraId="242C9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0" w:hRule="atLeast"/>
        </w:trPr>
        <w:tc>
          <w:tcPr>
            <w:tcW w:w="1893" w:type="dxa"/>
            <w:vMerge w:val="restart"/>
            <w:noWrap w:val="0"/>
            <w:vAlign w:val="center"/>
          </w:tcPr>
          <w:p w14:paraId="2D25924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顶焦度绝对值最大的子午面上的顶焦度值</w:t>
            </w:r>
          </w:p>
        </w:tc>
        <w:tc>
          <w:tcPr>
            <w:tcW w:w="1275" w:type="dxa"/>
            <w:vMerge w:val="restart"/>
            <w:noWrap w:val="0"/>
            <w:vAlign w:val="center"/>
          </w:tcPr>
          <w:p w14:paraId="332DDE0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每主子午面顶焦度允差</w:t>
            </w:r>
          </w:p>
          <w:p w14:paraId="62262FA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A</w:t>
            </w:r>
          </w:p>
        </w:tc>
        <w:tc>
          <w:tcPr>
            <w:tcW w:w="5983" w:type="dxa"/>
            <w:gridSpan w:val="4"/>
            <w:noWrap w:val="0"/>
            <w:vAlign w:val="center"/>
          </w:tcPr>
          <w:p w14:paraId="23C7FB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柱镜允差  B</w:t>
            </w:r>
          </w:p>
        </w:tc>
      </w:tr>
      <w:tr w14:paraId="0C0662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04" w:hRule="atLeast"/>
        </w:trPr>
        <w:tc>
          <w:tcPr>
            <w:tcW w:w="1893" w:type="dxa"/>
            <w:vMerge w:val="continue"/>
            <w:noWrap w:val="0"/>
            <w:vAlign w:val="center"/>
          </w:tcPr>
          <w:p w14:paraId="7D8F328F">
            <w:pPr>
              <w:jc w:val="center"/>
              <w:rPr>
                <w:rFonts w:hint="eastAsia" w:asciiTheme="minorEastAsia" w:hAnsiTheme="minorEastAsia" w:eastAsiaTheme="minorEastAsia" w:cstheme="minorEastAsia"/>
              </w:rPr>
            </w:pPr>
          </w:p>
        </w:tc>
        <w:tc>
          <w:tcPr>
            <w:tcW w:w="1275" w:type="dxa"/>
            <w:vMerge w:val="continue"/>
            <w:noWrap w:val="0"/>
            <w:vAlign w:val="center"/>
          </w:tcPr>
          <w:p w14:paraId="228DB15B">
            <w:pPr>
              <w:jc w:val="center"/>
              <w:rPr>
                <w:rFonts w:hint="eastAsia" w:asciiTheme="minorEastAsia" w:hAnsiTheme="minorEastAsia" w:eastAsiaTheme="minorEastAsia" w:cstheme="minorEastAsia"/>
              </w:rPr>
            </w:pPr>
          </w:p>
        </w:tc>
        <w:tc>
          <w:tcPr>
            <w:tcW w:w="1620" w:type="dxa"/>
            <w:noWrap w:val="0"/>
            <w:vAlign w:val="center"/>
          </w:tcPr>
          <w:p w14:paraId="56E8ED8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≥0.00和≤0.75</w:t>
            </w:r>
          </w:p>
        </w:tc>
        <w:tc>
          <w:tcPr>
            <w:tcW w:w="1620" w:type="dxa"/>
            <w:noWrap w:val="0"/>
            <w:vAlign w:val="center"/>
          </w:tcPr>
          <w:p w14:paraId="4BD05EA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＞0.75和≤4.00</w:t>
            </w:r>
          </w:p>
        </w:tc>
        <w:tc>
          <w:tcPr>
            <w:tcW w:w="1680" w:type="dxa"/>
            <w:noWrap w:val="0"/>
            <w:vAlign w:val="center"/>
          </w:tcPr>
          <w:p w14:paraId="0BD8FB7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＞4.00和≤6.00</w:t>
            </w:r>
          </w:p>
        </w:tc>
        <w:tc>
          <w:tcPr>
            <w:tcW w:w="1063" w:type="dxa"/>
            <w:noWrap w:val="0"/>
            <w:vAlign w:val="center"/>
          </w:tcPr>
          <w:p w14:paraId="0DC3339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＞6.00</w:t>
            </w:r>
          </w:p>
        </w:tc>
      </w:tr>
      <w:tr w14:paraId="6D510F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893" w:type="dxa"/>
            <w:noWrap w:val="0"/>
            <w:vAlign w:val="center"/>
          </w:tcPr>
          <w:p w14:paraId="69C72A3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≥0.00和≤3.00</w:t>
            </w:r>
          </w:p>
        </w:tc>
        <w:tc>
          <w:tcPr>
            <w:tcW w:w="1275" w:type="dxa"/>
            <w:vMerge w:val="restart"/>
            <w:noWrap w:val="0"/>
            <w:vAlign w:val="center"/>
          </w:tcPr>
          <w:p w14:paraId="5D3C37C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±0.12</w:t>
            </w:r>
          </w:p>
        </w:tc>
        <w:tc>
          <w:tcPr>
            <w:tcW w:w="1620" w:type="dxa"/>
            <w:noWrap w:val="0"/>
            <w:vAlign w:val="center"/>
          </w:tcPr>
          <w:p w14:paraId="5600C27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±0.09</w:t>
            </w:r>
          </w:p>
        </w:tc>
        <w:tc>
          <w:tcPr>
            <w:tcW w:w="1620" w:type="dxa"/>
            <w:vMerge w:val="restart"/>
            <w:noWrap w:val="0"/>
            <w:vAlign w:val="center"/>
          </w:tcPr>
          <w:p w14:paraId="767D01A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±0.12</w:t>
            </w:r>
          </w:p>
        </w:tc>
        <w:tc>
          <w:tcPr>
            <w:tcW w:w="1680" w:type="dxa"/>
            <w:vMerge w:val="restart"/>
            <w:noWrap w:val="0"/>
            <w:vAlign w:val="center"/>
          </w:tcPr>
          <w:p w14:paraId="63D4767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±0.18</w:t>
            </w:r>
          </w:p>
        </w:tc>
        <w:tc>
          <w:tcPr>
            <w:tcW w:w="1063" w:type="dxa"/>
            <w:vMerge w:val="restart"/>
            <w:noWrap w:val="0"/>
            <w:vAlign w:val="center"/>
          </w:tcPr>
          <w:p w14:paraId="44E1144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r>
      <w:tr w14:paraId="747D75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893" w:type="dxa"/>
            <w:noWrap w:val="0"/>
            <w:vAlign w:val="center"/>
          </w:tcPr>
          <w:p w14:paraId="3C05002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＞3.00和≤6.00</w:t>
            </w:r>
          </w:p>
        </w:tc>
        <w:tc>
          <w:tcPr>
            <w:tcW w:w="1275" w:type="dxa"/>
            <w:vMerge w:val="continue"/>
            <w:noWrap w:val="0"/>
            <w:vAlign w:val="center"/>
          </w:tcPr>
          <w:p w14:paraId="5B6DF415">
            <w:pPr>
              <w:jc w:val="center"/>
              <w:rPr>
                <w:rFonts w:hint="eastAsia" w:asciiTheme="minorEastAsia" w:hAnsiTheme="minorEastAsia" w:eastAsiaTheme="minorEastAsia" w:cstheme="minorEastAsia"/>
              </w:rPr>
            </w:pPr>
          </w:p>
        </w:tc>
        <w:tc>
          <w:tcPr>
            <w:tcW w:w="1620" w:type="dxa"/>
            <w:vMerge w:val="restart"/>
            <w:noWrap w:val="0"/>
            <w:vAlign w:val="center"/>
          </w:tcPr>
          <w:p w14:paraId="0F739F8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±0.12</w:t>
            </w:r>
          </w:p>
        </w:tc>
        <w:tc>
          <w:tcPr>
            <w:tcW w:w="1620" w:type="dxa"/>
            <w:vMerge w:val="continue"/>
            <w:noWrap w:val="0"/>
            <w:vAlign w:val="center"/>
          </w:tcPr>
          <w:p w14:paraId="3D957CBD">
            <w:pPr>
              <w:jc w:val="center"/>
              <w:rPr>
                <w:rFonts w:hint="eastAsia" w:asciiTheme="minorEastAsia" w:hAnsiTheme="minorEastAsia" w:eastAsiaTheme="minorEastAsia" w:cstheme="minorEastAsia"/>
              </w:rPr>
            </w:pPr>
          </w:p>
        </w:tc>
        <w:tc>
          <w:tcPr>
            <w:tcW w:w="1680" w:type="dxa"/>
            <w:vMerge w:val="continue"/>
            <w:noWrap w:val="0"/>
            <w:vAlign w:val="center"/>
          </w:tcPr>
          <w:p w14:paraId="3A66A212">
            <w:pPr>
              <w:jc w:val="center"/>
              <w:rPr>
                <w:rFonts w:hint="eastAsia" w:asciiTheme="minorEastAsia" w:hAnsiTheme="minorEastAsia" w:eastAsiaTheme="minorEastAsia" w:cstheme="minorEastAsia"/>
              </w:rPr>
            </w:pPr>
          </w:p>
        </w:tc>
        <w:tc>
          <w:tcPr>
            <w:tcW w:w="1063" w:type="dxa"/>
            <w:vMerge w:val="continue"/>
            <w:noWrap w:val="0"/>
            <w:vAlign w:val="center"/>
          </w:tcPr>
          <w:p w14:paraId="1ED6D851">
            <w:pPr>
              <w:jc w:val="center"/>
              <w:rPr>
                <w:rFonts w:hint="eastAsia" w:asciiTheme="minorEastAsia" w:hAnsiTheme="minorEastAsia" w:eastAsiaTheme="minorEastAsia" w:cstheme="minorEastAsia"/>
              </w:rPr>
            </w:pPr>
          </w:p>
        </w:tc>
      </w:tr>
      <w:tr w14:paraId="1FF14C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893" w:type="dxa"/>
            <w:noWrap w:val="0"/>
            <w:vAlign w:val="center"/>
          </w:tcPr>
          <w:p w14:paraId="07E997E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＞6.00和≤9.00</w:t>
            </w:r>
          </w:p>
        </w:tc>
        <w:tc>
          <w:tcPr>
            <w:tcW w:w="1275" w:type="dxa"/>
            <w:vMerge w:val="continue"/>
            <w:noWrap w:val="0"/>
            <w:vAlign w:val="center"/>
          </w:tcPr>
          <w:p w14:paraId="50802110">
            <w:pPr>
              <w:jc w:val="center"/>
              <w:rPr>
                <w:rFonts w:hint="eastAsia" w:asciiTheme="minorEastAsia" w:hAnsiTheme="minorEastAsia" w:eastAsiaTheme="minorEastAsia" w:cstheme="minorEastAsia"/>
              </w:rPr>
            </w:pPr>
          </w:p>
        </w:tc>
        <w:tc>
          <w:tcPr>
            <w:tcW w:w="1620" w:type="dxa"/>
            <w:vMerge w:val="continue"/>
            <w:noWrap w:val="0"/>
            <w:vAlign w:val="center"/>
          </w:tcPr>
          <w:p w14:paraId="74463BE3">
            <w:pPr>
              <w:jc w:val="center"/>
              <w:rPr>
                <w:rFonts w:hint="eastAsia" w:asciiTheme="minorEastAsia" w:hAnsiTheme="minorEastAsia" w:eastAsiaTheme="minorEastAsia" w:cstheme="minorEastAsia"/>
              </w:rPr>
            </w:pPr>
          </w:p>
        </w:tc>
        <w:tc>
          <w:tcPr>
            <w:tcW w:w="1620" w:type="dxa"/>
            <w:vMerge w:val="restart"/>
            <w:noWrap w:val="0"/>
            <w:vAlign w:val="center"/>
          </w:tcPr>
          <w:p w14:paraId="1D1EEF5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±0.18</w:t>
            </w:r>
          </w:p>
        </w:tc>
        <w:tc>
          <w:tcPr>
            <w:tcW w:w="1680" w:type="dxa"/>
            <w:vMerge w:val="continue"/>
            <w:noWrap w:val="0"/>
            <w:vAlign w:val="center"/>
          </w:tcPr>
          <w:p w14:paraId="7D71746B">
            <w:pPr>
              <w:jc w:val="center"/>
              <w:rPr>
                <w:rFonts w:hint="eastAsia" w:asciiTheme="minorEastAsia" w:hAnsiTheme="minorEastAsia" w:eastAsiaTheme="minorEastAsia" w:cstheme="minorEastAsia"/>
              </w:rPr>
            </w:pPr>
          </w:p>
        </w:tc>
        <w:tc>
          <w:tcPr>
            <w:tcW w:w="1063" w:type="dxa"/>
            <w:vMerge w:val="continue"/>
            <w:noWrap w:val="0"/>
            <w:vAlign w:val="center"/>
          </w:tcPr>
          <w:p w14:paraId="53EDDDD3">
            <w:pPr>
              <w:jc w:val="center"/>
              <w:rPr>
                <w:rFonts w:hint="eastAsia" w:asciiTheme="minorEastAsia" w:hAnsiTheme="minorEastAsia" w:eastAsiaTheme="minorEastAsia" w:cstheme="minorEastAsia"/>
              </w:rPr>
            </w:pPr>
          </w:p>
        </w:tc>
      </w:tr>
      <w:tr w14:paraId="7052F0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893" w:type="dxa"/>
            <w:noWrap w:val="0"/>
            <w:vAlign w:val="center"/>
          </w:tcPr>
          <w:p w14:paraId="72DFAFA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＞9.00和≤12.00</w:t>
            </w:r>
          </w:p>
        </w:tc>
        <w:tc>
          <w:tcPr>
            <w:tcW w:w="1275" w:type="dxa"/>
            <w:noWrap w:val="0"/>
            <w:vAlign w:val="center"/>
          </w:tcPr>
          <w:p w14:paraId="22BE6E1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±0.18</w:t>
            </w:r>
          </w:p>
        </w:tc>
        <w:tc>
          <w:tcPr>
            <w:tcW w:w="1620" w:type="dxa"/>
            <w:vMerge w:val="continue"/>
            <w:noWrap w:val="0"/>
            <w:vAlign w:val="center"/>
          </w:tcPr>
          <w:p w14:paraId="736DEBFE">
            <w:pPr>
              <w:jc w:val="center"/>
              <w:rPr>
                <w:rFonts w:hint="eastAsia" w:asciiTheme="minorEastAsia" w:hAnsiTheme="minorEastAsia" w:eastAsiaTheme="minorEastAsia" w:cstheme="minorEastAsia"/>
              </w:rPr>
            </w:pPr>
          </w:p>
        </w:tc>
        <w:tc>
          <w:tcPr>
            <w:tcW w:w="1620" w:type="dxa"/>
            <w:vMerge w:val="continue"/>
            <w:noWrap w:val="0"/>
            <w:vAlign w:val="center"/>
          </w:tcPr>
          <w:p w14:paraId="7425328C">
            <w:pPr>
              <w:jc w:val="center"/>
              <w:rPr>
                <w:rFonts w:hint="eastAsia" w:asciiTheme="minorEastAsia" w:hAnsiTheme="minorEastAsia" w:eastAsiaTheme="minorEastAsia" w:cstheme="minorEastAsia"/>
              </w:rPr>
            </w:pPr>
          </w:p>
        </w:tc>
        <w:tc>
          <w:tcPr>
            <w:tcW w:w="1680" w:type="dxa"/>
            <w:vMerge w:val="restart"/>
            <w:noWrap w:val="0"/>
            <w:vAlign w:val="center"/>
          </w:tcPr>
          <w:p w14:paraId="667D693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c>
          <w:tcPr>
            <w:tcW w:w="1063" w:type="dxa"/>
            <w:vMerge w:val="continue"/>
            <w:noWrap w:val="0"/>
            <w:vAlign w:val="center"/>
          </w:tcPr>
          <w:p w14:paraId="6DBE12D3">
            <w:pPr>
              <w:jc w:val="center"/>
              <w:rPr>
                <w:rFonts w:hint="eastAsia" w:asciiTheme="minorEastAsia" w:hAnsiTheme="minorEastAsia" w:eastAsiaTheme="minorEastAsia" w:cstheme="minorEastAsia"/>
              </w:rPr>
            </w:pPr>
          </w:p>
        </w:tc>
      </w:tr>
      <w:tr w14:paraId="25F20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893" w:type="dxa"/>
            <w:noWrap w:val="0"/>
            <w:vAlign w:val="center"/>
          </w:tcPr>
          <w:p w14:paraId="642C50E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＞12.00和≤20.00</w:t>
            </w:r>
          </w:p>
        </w:tc>
        <w:tc>
          <w:tcPr>
            <w:tcW w:w="1275" w:type="dxa"/>
            <w:noWrap w:val="0"/>
            <w:vAlign w:val="center"/>
          </w:tcPr>
          <w:p w14:paraId="5EFF5E1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c>
          <w:tcPr>
            <w:tcW w:w="1620" w:type="dxa"/>
            <w:noWrap w:val="0"/>
            <w:vAlign w:val="center"/>
          </w:tcPr>
          <w:p w14:paraId="48C352E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±0.18</w:t>
            </w:r>
          </w:p>
        </w:tc>
        <w:tc>
          <w:tcPr>
            <w:tcW w:w="1620" w:type="dxa"/>
            <w:vMerge w:val="restart"/>
            <w:noWrap w:val="0"/>
            <w:vAlign w:val="center"/>
          </w:tcPr>
          <w:p w14:paraId="76B75FD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c>
          <w:tcPr>
            <w:tcW w:w="1680" w:type="dxa"/>
            <w:vMerge w:val="continue"/>
            <w:noWrap w:val="0"/>
            <w:vAlign w:val="center"/>
          </w:tcPr>
          <w:p w14:paraId="7465A386">
            <w:pPr>
              <w:jc w:val="center"/>
              <w:rPr>
                <w:rFonts w:hint="eastAsia" w:asciiTheme="minorEastAsia" w:hAnsiTheme="minorEastAsia" w:eastAsiaTheme="minorEastAsia" w:cstheme="minorEastAsia"/>
              </w:rPr>
            </w:pPr>
          </w:p>
        </w:tc>
        <w:tc>
          <w:tcPr>
            <w:tcW w:w="1063" w:type="dxa"/>
            <w:vMerge w:val="continue"/>
            <w:noWrap w:val="0"/>
            <w:vAlign w:val="center"/>
          </w:tcPr>
          <w:p w14:paraId="3E47CF6C">
            <w:pPr>
              <w:jc w:val="center"/>
              <w:rPr>
                <w:rFonts w:hint="eastAsia" w:asciiTheme="minorEastAsia" w:hAnsiTheme="minorEastAsia" w:eastAsiaTheme="minorEastAsia" w:cstheme="minorEastAsia"/>
              </w:rPr>
            </w:pPr>
          </w:p>
        </w:tc>
      </w:tr>
      <w:tr w14:paraId="0AD0BA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1893" w:type="dxa"/>
            <w:noWrap w:val="0"/>
            <w:vAlign w:val="center"/>
          </w:tcPr>
          <w:p w14:paraId="762A7E2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＞20.00</w:t>
            </w:r>
          </w:p>
        </w:tc>
        <w:tc>
          <w:tcPr>
            <w:tcW w:w="1275" w:type="dxa"/>
            <w:noWrap w:val="0"/>
            <w:vAlign w:val="center"/>
          </w:tcPr>
          <w:p w14:paraId="6DD4A8E3">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±0.37</w:t>
            </w:r>
          </w:p>
        </w:tc>
        <w:tc>
          <w:tcPr>
            <w:tcW w:w="1620" w:type="dxa"/>
            <w:noWrap w:val="0"/>
            <w:vAlign w:val="center"/>
          </w:tcPr>
          <w:p w14:paraId="3F0CCAD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±0.25</w:t>
            </w:r>
          </w:p>
        </w:tc>
        <w:tc>
          <w:tcPr>
            <w:tcW w:w="1620" w:type="dxa"/>
            <w:vMerge w:val="continue"/>
            <w:noWrap w:val="0"/>
            <w:vAlign w:val="center"/>
          </w:tcPr>
          <w:p w14:paraId="4F4C48B3">
            <w:pPr>
              <w:jc w:val="center"/>
              <w:rPr>
                <w:rFonts w:hint="eastAsia" w:asciiTheme="minorEastAsia" w:hAnsiTheme="minorEastAsia" w:eastAsiaTheme="minorEastAsia" w:cstheme="minorEastAsia"/>
              </w:rPr>
            </w:pPr>
          </w:p>
        </w:tc>
        <w:tc>
          <w:tcPr>
            <w:tcW w:w="1680" w:type="dxa"/>
            <w:noWrap w:val="0"/>
            <w:vAlign w:val="center"/>
          </w:tcPr>
          <w:p w14:paraId="43239E7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±0.37</w:t>
            </w:r>
          </w:p>
        </w:tc>
        <w:tc>
          <w:tcPr>
            <w:tcW w:w="1063" w:type="dxa"/>
            <w:noWrap w:val="0"/>
            <w:vAlign w:val="center"/>
          </w:tcPr>
          <w:p w14:paraId="4CAABE3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±0.37</w:t>
            </w:r>
          </w:p>
        </w:tc>
      </w:tr>
    </w:tbl>
    <w:p w14:paraId="76D8E2BD">
      <w:pPr>
        <w:spacing w:line="578" w:lineRule="exact"/>
        <w:ind w:firstLine="600" w:firstLineChars="200"/>
        <w:rPr>
          <w:rFonts w:hint="eastAsia" w:ascii="仿宋_GB2312" w:eastAsia="仿宋_GB2312"/>
          <w:sz w:val="32"/>
          <w:szCs w:val="32"/>
          <w:lang w:val="en-US" w:eastAsia="zh-CN"/>
        </w:rPr>
      </w:pPr>
      <w:r>
        <w:rPr>
          <w:rFonts w:hint="eastAsia" w:ascii="楷体_GB2312" w:hAnsi="楷体_GB2312" w:eastAsia="楷体_GB2312" w:cs="楷体_GB2312"/>
          <w:color w:val="auto"/>
          <w:sz w:val="30"/>
          <w:szCs w:val="30"/>
          <w:lang w:val="en-US" w:eastAsia="zh-CN"/>
        </w:rPr>
        <w:t>（四）厚度偏差</w:t>
      </w:r>
    </w:p>
    <w:p w14:paraId="14FC8080">
      <w:pPr>
        <w:keepNext w:val="0"/>
        <w:keepLines w:val="0"/>
        <w:widowControl/>
        <w:suppressLineNumbers w:val="0"/>
        <w:spacing w:line="578" w:lineRule="exact"/>
        <w:ind w:firstLine="640" w:firstLineChars="200"/>
        <w:jc w:val="left"/>
        <w:rPr>
          <w:rFonts w:hint="eastAsia" w:ascii="仿宋_GB2312" w:eastAsia="仿宋_GB2312"/>
          <w:sz w:val="32"/>
          <w:szCs w:val="32"/>
        </w:rPr>
      </w:pPr>
      <w:r>
        <w:rPr>
          <w:rFonts w:hint="eastAsia" w:ascii="仿宋_GB2312" w:hAnsi="Times New Roman" w:eastAsia="仿宋_GB2312" w:cs="Times New Roman"/>
          <w:kern w:val="2"/>
          <w:sz w:val="32"/>
          <w:szCs w:val="32"/>
          <w:lang w:val="en-US" w:eastAsia="zh-CN" w:bidi="ar"/>
        </w:rPr>
        <w:t xml:space="preserve">镜片厚度作为眼镜镜片的重要光学指标之一，会直接影响使用者的清晰度和佩戴舒适度。GB 10810.1- 2005《眼镜镜片 第1部分：单光和多焦点镜片》对眼镜镜片厚度进行了规定，标准要求眼镜镜片厚度允差为±0.3mm。镜片厚度不合格，长期佩戴易引发视疲劳、头晕、眼胀等症状。 </w:t>
      </w:r>
    </w:p>
    <w:p w14:paraId="694E5842">
      <w:pPr>
        <w:autoSpaceDE w:val="0"/>
        <w:autoSpaceDN w:val="0"/>
        <w:adjustRightInd w:val="0"/>
        <w:spacing w:line="578" w:lineRule="exact"/>
        <w:ind w:firstLine="640" w:firstLineChars="200"/>
        <w:rPr>
          <w:rFonts w:hint="eastAsia" w:ascii="仿宋_GB2312" w:eastAsia="仿宋_GB2312"/>
          <w:sz w:val="32"/>
          <w:szCs w:val="32"/>
          <w:lang w:val="en-US" w:eastAsia="zh-CN"/>
        </w:rPr>
      </w:pPr>
    </w:p>
    <w:p w14:paraId="61A0BD6D"/>
    <w:sectPr>
      <w:pgSz w:w="11906" w:h="16838"/>
      <w:pgMar w:top="1417" w:right="1474" w:bottom="1417" w:left="1474"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6AE2F"/>
    <w:multiLevelType w:val="singleLevel"/>
    <w:tmpl w:val="9AF6A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C126E"/>
    <w:rsid w:val="320C1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2026-01-09T08:56:00Z</dcterms:created>
  <dc:creator>沈锎洋</dc:creator>
  <cp:lastModifiedBy>沈锎洋</cp:lastModifiedBy>
  <dcterms:modified xsi:type="dcterms:W3CDTF">2026-01-09T08:56:57Z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AC3B04D2B37348B696842B9277AFECA9_11</vt:lpwstr>
  </property>
  <property fmtid="{D5CDD505-2E9C-101B-9397-08002B2CF9AE}" pid="4" name="KSOTemplateDocerSaveRecord">
    <vt:lpwstr>eyJoZGlkIjoiOGVkNDFlN2I1NTdkZmE5NjhjZGE3NDFkMWJmZDlkMjgiLCJ1c2VySWQiOiIxNjU3Mjc0OTIxIn0=</vt:lpwstr>
  </property>
</Properties>
</file>