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4C40">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2</w:t>
      </w:r>
    </w:p>
    <w:p w14:paraId="5B464191">
      <w:pPr>
        <w:adjustRightInd w:val="0"/>
        <w:snapToGrid w:val="0"/>
        <w:spacing w:line="578" w:lineRule="exact"/>
        <w:jc w:val="center"/>
        <w:rPr>
          <w:rFonts w:eastAsia="方正小标宋简体" w:asciiTheme="minorHAnsi" w:hAnsiTheme="minorHAnsi" w:cstheme="minorBidi"/>
          <w:sz w:val="44"/>
          <w:szCs w:val="44"/>
        </w:rPr>
      </w:pPr>
      <w:bookmarkStart w:id="1" w:name="_GoBack"/>
      <w:r>
        <w:rPr>
          <w:rFonts w:hint="eastAsia" w:eastAsia="方正小标宋简体" w:asciiTheme="minorHAnsi" w:hAnsiTheme="minorHAnsi" w:cstheme="minorBidi"/>
          <w:sz w:val="44"/>
          <w:szCs w:val="44"/>
        </w:rPr>
        <w:t>不合格项目说明</w:t>
      </w:r>
    </w:p>
    <w:bookmarkEnd w:id="1"/>
    <w:p w14:paraId="7C4ECA2A">
      <w:p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非医用口罩</w:t>
      </w:r>
    </w:p>
    <w:p w14:paraId="3245E25A">
      <w:pPr>
        <w:autoSpaceDE w:val="0"/>
        <w:autoSpaceDN w:val="0"/>
        <w:adjustRightInd w:val="0"/>
        <w:spacing w:line="52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（一）</w:t>
      </w:r>
      <w:r>
        <w:rPr>
          <w:rFonts w:hint="eastAsia" w:ascii="楷体_GB2312" w:hAnsi="楷体_GB2312" w:eastAsia="楷体_GB2312" w:cs="楷体_GB2312"/>
          <w:sz w:val="30"/>
          <w:szCs w:val="30"/>
        </w:rPr>
        <w:t>过滤效率</w:t>
      </w:r>
    </w:p>
    <w:p w14:paraId="11292F58">
      <w:pPr>
        <w:spacing w:line="578" w:lineRule="exact"/>
        <w:ind w:firstLine="640" w:firstLineChars="200"/>
        <w:rPr>
          <w:rFonts w:ascii="仿宋_GB2312" w:eastAsia="仿宋_GB2312"/>
          <w:sz w:val="32"/>
          <w:szCs w:val="32"/>
        </w:rPr>
      </w:pPr>
      <w:r>
        <w:rPr>
          <w:rFonts w:hint="eastAsia" w:ascii="仿宋_GB2312" w:eastAsia="仿宋_GB2312"/>
          <w:sz w:val="32"/>
          <w:szCs w:val="32"/>
        </w:rPr>
        <w:t>过滤效率反映口罩对颗粒物的滤除能力，是口罩产品性能的重要指标。GB/T 32610《日常防护型口罩技术规范》规定，盐性介质过滤效率：Ⅰ级≥99%，Ⅱ级≥95%，Ⅲ级≥90%；油性介质过滤效率：Ⅰ级≥99%，Ⅱ级≥95%，Ⅲ级≥80%。不合格产品实测结果：盐性介质：46.6%，油性介质：24.3%。过滤效率不合格将降低口罩对颗粒物的拦截效果，防护效果差，不能有效保护佩戴者呼吸安全。</w:t>
      </w:r>
    </w:p>
    <w:p w14:paraId="7FC992D6">
      <w:pPr>
        <w:autoSpaceDE w:val="0"/>
        <w:autoSpaceDN w:val="0"/>
        <w:adjustRightInd w:val="0"/>
        <w:spacing w:line="520" w:lineRule="exact"/>
        <w:ind w:firstLine="600" w:firstLineChars="200"/>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（二）防护效果</w:t>
      </w:r>
    </w:p>
    <w:p w14:paraId="2125EE46">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防护效果是口罩重要的性能指标，体现口罩与人脸的密合程度。GB/T 32610《日常防护型口罩技术规范》规定A级≥90%，B级≥85%，C级≥75%，D级≥65%，同时当口罩防护效果级别为B级、C级、D级，过滤效率应达到Ⅲ级及以上。不合格产品实测结果：过滤效率未达到Ⅲ级。防护效果不合格可能造成的危害：佩戴者按照标准中给出的不同污染环境佩戴相应防护效果等级的口罩，防护效果不合格会造成在相应的空气污染环境下使用此口罩，达不到预期的防护效果，佩戴者可能会吸入更多的颗粒物。</w:t>
      </w:r>
    </w:p>
    <w:p w14:paraId="7EE195E5">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摩托车、电动自行车头盔</w:t>
      </w:r>
    </w:p>
    <w:p w14:paraId="2901EE4A">
      <w:pPr>
        <w:autoSpaceDE w:val="0"/>
        <w:autoSpaceDN w:val="0"/>
        <w:adjustRightInd w:val="0"/>
        <w:spacing w:line="520" w:lineRule="exact"/>
        <w:ind w:firstLine="600" w:firstLineChars="200"/>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val="en-US" w:eastAsia="zh-CN"/>
        </w:rPr>
        <w:t>（一）</w:t>
      </w:r>
      <w:r>
        <w:rPr>
          <w:rFonts w:hint="eastAsia" w:ascii="楷体_GB2312" w:hAnsi="楷体_GB2312" w:eastAsia="楷体_GB2312" w:cs="楷体_GB2312"/>
          <w:sz w:val="30"/>
          <w:szCs w:val="30"/>
          <w:lang w:eastAsia="zh-CN"/>
        </w:rPr>
        <w:t>固定装置稳定性项目</w:t>
      </w:r>
    </w:p>
    <w:p w14:paraId="361B8B19">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固定装置稳定性项目是摩托车、电动自行车乘员头盔重要的安全技术指标，该技术指标与头盔整体设计、零部件选择等密切相关，GB 811-2022《摩托车、电动自行车乘员头盔》标准规定，按照6.9规定的方法进行测试，A3类型头盔的转动角度不应大于30°。不合格产品实测结果：头盔从头型上脱落，头盔的转动角度大于30°；在碰撞发生时可导致头盔脱离佩戴者头部，造成头盔防护功能的失效，使得佩戴者死亡风险增加。</w:t>
      </w:r>
    </w:p>
    <w:p w14:paraId="2C84BC69">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（二）吸收碰撞能量</w:t>
      </w:r>
    </w:p>
    <w:p w14:paraId="0390BB90">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吸收碰撞能量是摩托车、电动自行车乘员头盔重要的安全技术指标，该技术指标与头盔整体设计、零部件选择等密切相关，GB 811-2022《摩托车、电动自行车乘员头盔》标准规定，按照6.11规定的方法进行试验，A3类型头盔应符合以下技术要求：（1）加速度峰值≤400g；（2）加速度超过150g的作用时间≤4 ms；（3）加速度超过200g的作用时间≤2ms（加速度峰值不超过300g时，此项不作要求）；（4）试验完成后，壳体无明显的碎片脱落（容易脱落的部件除外）。不合格产品实测结果：加速度峰值超过400g；当碰撞发生时产品不能对使用者头部提供必要的防护，可直接危及使用者生命安全。</w:t>
      </w:r>
    </w:p>
    <w:p w14:paraId="4C378EAC">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运动头盔</w:t>
      </w:r>
    </w:p>
    <w:p w14:paraId="664D4D3B">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头盔佩戴装置稳定性</w:t>
      </w:r>
    </w:p>
    <w:p w14:paraId="38B4E54D">
      <w:pPr>
        <w:spacing w:line="578" w:lineRule="exact"/>
        <w:ind w:firstLine="640" w:firstLineChars="200"/>
        <w:rPr>
          <w:rFonts w:hint="eastAsia" w:ascii="仿宋_GB2312" w:eastAsia="仿宋_GB2312"/>
          <w:sz w:val="32"/>
          <w:szCs w:val="32"/>
        </w:rPr>
      </w:pPr>
      <w:bookmarkStart w:id="0" w:name="OLE_LINK6"/>
      <w:r>
        <w:rPr>
          <w:rFonts w:hint="eastAsia" w:ascii="仿宋_GB2312" w:eastAsia="仿宋_GB2312"/>
          <w:sz w:val="32"/>
          <w:szCs w:val="32"/>
        </w:rPr>
        <w:t>头盔佩戴装置稳定性是运动头盔重要的安全技术指标，该技术指标与头盔整体设计、零部件选择等密切相关，GB 24429-2009《运动头盔 自行车、滑板、轮滑运动头盔的安全要求和试验方法》标准规定，头盔佩戴装置稳定性试验后，头盔应不从头型上脱落。实测结果：头盔与头型分开。在使用过程中头盔与头部分离会造成防护功能的失效，造成人体头部完全暴露在冲击过程中，承受全部冲击能量，严重时可直接导致人员死亡。</w:t>
      </w:r>
      <w:bookmarkEnd w:id="0"/>
    </w:p>
    <w:p w14:paraId="6F45772C">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眼镜、镜及类似品</w:t>
      </w:r>
    </w:p>
    <w:p w14:paraId="372A3A0D">
      <w:pPr>
        <w:keepNext w:val="0"/>
        <w:keepLines w:val="0"/>
        <w:pageBreakBefore w:val="0"/>
        <w:widowControl w:val="0"/>
        <w:kinsoku/>
        <w:wordWrap/>
        <w:overflowPunct/>
        <w:topLinePunct w:val="0"/>
        <w:autoSpaceDE w:val="0"/>
        <w:autoSpaceDN w:val="0"/>
        <w:bidi w:val="0"/>
        <w:adjustRightInd w:val="0"/>
        <w:spacing w:line="578" w:lineRule="exact"/>
        <w:ind w:right="0" w:rightChars="0" w:firstLine="600" w:firstLineChars="200"/>
        <w:textAlignment w:val="auto"/>
        <w:outlineLvl w:val="9"/>
        <w:rPr>
          <w:rFonts w:hint="eastAsia" w:eastAsia="黑体"/>
          <w:sz w:val="30"/>
          <w:szCs w:val="30"/>
        </w:rPr>
      </w:pPr>
      <w:r>
        <w:rPr>
          <w:rFonts w:hint="eastAsia" w:ascii="楷体_GB2312" w:hAnsi="楷体_GB2312" w:eastAsia="楷体_GB2312" w:cs="楷体_GB2312"/>
          <w:sz w:val="30"/>
          <w:szCs w:val="30"/>
          <w:lang w:val="en-US" w:eastAsia="zh-CN"/>
        </w:rPr>
        <w:t>（一）光学中心水平偏差</w:t>
      </w:r>
    </w:p>
    <w:p w14:paraId="3C9B9453">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光学中心水平偏差是配装眼镜、老视成镜的重要光学性能指标之一，会直接影响使用者的佩戴舒适度。当产品为配装眼镜时，</w:t>
      </w:r>
      <w:r>
        <w:rPr>
          <w:rFonts w:hint="eastAsia" w:ascii="仿宋_GB2312" w:eastAsia="仿宋_GB2312"/>
          <w:sz w:val="32"/>
          <w:szCs w:val="32"/>
        </w:rPr>
        <w:t xml:space="preserve">GB </w:t>
      </w:r>
      <w:r>
        <w:rPr>
          <w:rFonts w:hint="eastAsia" w:ascii="仿宋_GB2312" w:eastAsia="仿宋_GB2312"/>
          <w:sz w:val="32"/>
          <w:szCs w:val="32"/>
          <w:lang w:val="en-US" w:eastAsia="zh-CN"/>
        </w:rPr>
        <w:t>13511.1</w:t>
      </w:r>
      <w:r>
        <w:rPr>
          <w:rFonts w:hint="eastAsia" w:ascii="仿宋_GB2312" w:eastAsia="仿宋_GB2312"/>
          <w:sz w:val="32"/>
          <w:szCs w:val="32"/>
        </w:rPr>
        <w:t>《配装眼镜 第1部分：单光和多焦点》</w:t>
      </w:r>
      <w:r>
        <w:rPr>
          <w:rFonts w:hint="eastAsia" w:ascii="仿宋_GB2312" w:eastAsia="仿宋_GB2312"/>
          <w:sz w:val="32"/>
          <w:szCs w:val="32"/>
          <w:lang w:eastAsia="zh-CN"/>
        </w:rPr>
        <w:t>对光学中心水平偏差进行了规定，</w:t>
      </w:r>
      <w:r>
        <w:rPr>
          <w:rFonts w:hint="eastAsia" w:ascii="仿宋_GB2312" w:eastAsia="仿宋_GB2312"/>
          <w:sz w:val="32"/>
          <w:szCs w:val="32"/>
          <w:lang w:val="en-US" w:eastAsia="zh-CN"/>
        </w:rPr>
        <w:t>标准要求配装眼镜的两镜片光学中心水平距离偏差应符合表1的规定</w:t>
      </w:r>
      <w:r>
        <w:rPr>
          <w:rFonts w:hint="eastAsia" w:ascii="仿宋_GB2312" w:eastAsia="仿宋_GB2312"/>
          <w:sz w:val="32"/>
          <w:szCs w:val="32"/>
        </w:rPr>
        <w:t>；</w:t>
      </w:r>
      <w:r>
        <w:rPr>
          <w:rFonts w:hint="eastAsia" w:ascii="仿宋_GB2312" w:eastAsia="仿宋_GB2312"/>
          <w:sz w:val="32"/>
          <w:szCs w:val="32"/>
          <w:lang w:val="en-US" w:eastAsia="zh-CN"/>
        </w:rPr>
        <w:t>对于老视成镜，</w:t>
      </w:r>
      <w:r>
        <w:rPr>
          <w:rFonts w:hint="eastAsia" w:ascii="仿宋_GB2312" w:eastAsia="仿宋_GB2312"/>
          <w:sz w:val="32"/>
          <w:szCs w:val="32"/>
        </w:rPr>
        <w:t xml:space="preserve">强制性国家标准GB </w:t>
      </w:r>
      <w:r>
        <w:rPr>
          <w:rFonts w:hint="eastAsia" w:ascii="仿宋_GB2312" w:eastAsia="仿宋_GB2312"/>
          <w:sz w:val="32"/>
          <w:szCs w:val="32"/>
          <w:lang w:val="en-US" w:eastAsia="zh-CN"/>
        </w:rPr>
        <w:t>13511.1</w:t>
      </w:r>
      <w:r>
        <w:rPr>
          <w:rFonts w:hint="eastAsia" w:ascii="仿宋_GB2312" w:eastAsia="仿宋_GB2312"/>
          <w:sz w:val="32"/>
          <w:szCs w:val="32"/>
        </w:rPr>
        <w:t>《配装眼镜 第1部分：单光和多焦点》</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GB/T 13511.3 </w:t>
      </w:r>
      <w:r>
        <w:rPr>
          <w:rFonts w:hint="eastAsia" w:ascii="仿宋_GB2312" w:eastAsia="仿宋_GB2312"/>
          <w:sz w:val="32"/>
          <w:szCs w:val="32"/>
        </w:rPr>
        <w:t>《配装眼镜 第3部分：单光老视成镜》</w:t>
      </w:r>
      <w:r>
        <w:rPr>
          <w:rFonts w:hint="eastAsia" w:ascii="仿宋_GB2312" w:eastAsia="仿宋_GB2312"/>
          <w:sz w:val="32"/>
          <w:szCs w:val="32"/>
          <w:lang w:eastAsia="zh-CN"/>
        </w:rPr>
        <w:t>对光学中心水平偏差进行了规定，</w:t>
      </w:r>
      <w:r>
        <w:rPr>
          <w:rFonts w:hint="eastAsia" w:ascii="仿宋_GB2312" w:eastAsia="仿宋_GB2312"/>
          <w:sz w:val="32"/>
          <w:szCs w:val="32"/>
          <w:lang w:val="en-US" w:eastAsia="zh-CN"/>
        </w:rPr>
        <w:t>标准要求老视成镜光学中心水平距离允差为±2.0mm。</w:t>
      </w:r>
    </w:p>
    <w:p w14:paraId="562F3B9E">
      <w:pPr>
        <w:keepNext w:val="0"/>
        <w:keepLines w:val="0"/>
        <w:pageBreakBefore w:val="0"/>
        <w:widowControl w:val="0"/>
        <w:kinsoku/>
        <w:wordWrap/>
        <w:overflowPunct/>
        <w:topLinePunct w:val="0"/>
        <w:autoSpaceDE w:val="0"/>
        <w:autoSpaceDN w:val="0"/>
        <w:bidi w:val="0"/>
        <w:adjustRightInd w:val="0"/>
        <w:spacing w:line="578" w:lineRule="exact"/>
        <w:ind w:right="0" w:rightChars="0" w:firstLine="600" w:firstLineChars="200"/>
        <w:textAlignment w:val="auto"/>
        <w:outlineLvl w:val="9"/>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（二）光学中心单侧水平偏差</w:t>
      </w:r>
    </w:p>
    <w:p w14:paraId="016E8F74">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光学中心单侧水平偏差是配装眼镜、老视成镜的重要光学性能指标之一，会直接影响使用者的佩戴舒适度。当产品为配装眼镜时，GB 13511.1《配装眼镜 第1部分：单光和多焦点》对光学中心单侧水平偏差进行了规定，标准要求配装眼镜的水平光学中心与眼瞳的单侧偏差均不应大于标准中表1中光学中心水平距离允差的二分之一；对于老视成镜，GB 13511.1 《配装眼镜 第1部分：单光和多焦点》、GB/T 13511.3《配装眼镜 第3部分：单光老视成镜》对光学中心单侧水平偏差进行了规定，标准要求老视成镜光学中心单侧水平允差为±1.0mm。</w:t>
      </w:r>
    </w:p>
    <w:p w14:paraId="62CBBD59">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eastAsia="黑体"/>
          <w:sz w:val="30"/>
          <w:szCs w:val="30"/>
          <w:lang w:val="en-US" w:eastAsia="zh-CN"/>
        </w:rPr>
      </w:pPr>
      <w:r>
        <w:rPr>
          <w:rFonts w:hint="eastAsia" w:eastAsia="黑体"/>
          <w:sz w:val="30"/>
          <w:szCs w:val="30"/>
          <w:lang w:val="en-US" w:eastAsia="zh-CN"/>
        </w:rPr>
        <w:t xml:space="preserve">   </w:t>
      </w:r>
      <w:r>
        <w:rPr>
          <w:rFonts w:hint="eastAsia" w:ascii="楷体_GB2312" w:hAnsi="楷体_GB2312" w:eastAsia="楷体_GB2312" w:cs="楷体_GB2312"/>
          <w:sz w:val="30"/>
          <w:szCs w:val="30"/>
          <w:lang w:val="en-US" w:eastAsia="zh-CN"/>
        </w:rPr>
        <w:t xml:space="preserve"> （三）光学中心垂直互差</w:t>
      </w:r>
    </w:p>
    <w:p w14:paraId="0E4BCD15">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光学中心垂直互差是指两镜片光学中心高度的差值，它表现为左、右两镜片的光学中心的高度不一致，差距过大。作为配装眼镜、老视成镜的重要光学性能指标之一。当产品为配装眼镜以及明示执行标准为GB 13511.1- 2011的老视成镜，GB 13511.1 《配装眼镜 第1部分：单光和多焦点》对光学中心垂直互差进行了规定，标准要求老视成镜光学中心垂直互差应符合表9规定；当老视成镜明示执行标准为GB/T 13511.3-2019《配装眼镜 第3部分：单光老视成镜》时，对光学中心垂直互差进行了规定，标准要求老视成镜光学中心垂直互差≤1.0mm。配戴光学中心垂直互差项目不合格的眼镜会造成不同程度的头晕、恶心、视力下降等不良影响。</w:t>
      </w:r>
    </w:p>
    <w:p w14:paraId="0E259578">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黑体" w:hAnsi="黑体" w:eastAsia="黑体" w:cs="Times New Roman"/>
          <w:sz w:val="32"/>
          <w:szCs w:val="32"/>
          <w:lang w:val="en-US" w:eastAsia="zh-CN"/>
        </w:rPr>
      </w:pPr>
      <w:r>
        <w:rPr>
          <w:rFonts w:hint="eastAsia" w:eastAsia="黑体"/>
          <w:sz w:val="30"/>
          <w:szCs w:val="30"/>
          <w:lang w:val="en-US" w:eastAsia="zh-CN"/>
        </w:rPr>
        <w:t xml:space="preserve">  </w:t>
      </w:r>
      <w:r>
        <w:rPr>
          <w:rFonts w:hint="eastAsia" w:ascii="黑体" w:hAnsi="黑体" w:eastAsia="黑体" w:cs="Times New Roman"/>
          <w:sz w:val="32"/>
          <w:szCs w:val="32"/>
          <w:lang w:val="en-US" w:eastAsia="zh-CN"/>
        </w:rPr>
        <w:t xml:space="preserve"> </w:t>
      </w:r>
      <w:r>
        <w:rPr>
          <w:rFonts w:hint="eastAsia" w:ascii="楷体_GB2312" w:hAnsi="楷体_GB2312" w:eastAsia="楷体_GB2312" w:cs="楷体_GB2312"/>
          <w:sz w:val="30"/>
          <w:szCs w:val="30"/>
          <w:lang w:val="en-US" w:eastAsia="zh-CN"/>
        </w:rPr>
        <w:t xml:space="preserve"> （四）柱镜轴位方向偏差</w:t>
      </w:r>
    </w:p>
    <w:p w14:paraId="68518569">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柱镜轴位方向偏差是配装眼镜的重要光学性能指标之一，会直接影响使用者的清晰度和佩戴舒适度。GB 13511.1《配装眼镜 第1部分：单光和多焦点》对定配眼镜的柱镜轴位方向偏差进行了规定，标准要求定配眼镜的柱镜轴位方向偏差应符合标准中的表1的规定。</w:t>
      </w:r>
    </w:p>
    <w:p w14:paraId="0B0875A7">
      <w:pPr>
        <w:spacing w:line="578" w:lineRule="exact"/>
        <w:ind w:firstLine="640" w:firstLineChars="200"/>
        <w:rPr>
          <w:rFonts w:hint="eastAsia" w:ascii="仿宋_GB2312" w:eastAsia="仿宋_GB2312"/>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31"/>
        <w:gridCol w:w="2484"/>
      </w:tblGrid>
      <w:tr w14:paraId="5C54D0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731" w:type="dxa"/>
            <w:noWrap w:val="0"/>
            <w:vAlign w:val="center"/>
          </w:tcPr>
          <w:p w14:paraId="1B017DDE">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柱镜顶焦度绝对值D</w:t>
            </w:r>
          </w:p>
        </w:tc>
        <w:tc>
          <w:tcPr>
            <w:tcW w:w="2484" w:type="dxa"/>
            <w:noWrap w:val="0"/>
            <w:vAlign w:val="center"/>
          </w:tcPr>
          <w:p w14:paraId="3E2A8930">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轴位允差（°）</w:t>
            </w:r>
          </w:p>
        </w:tc>
      </w:tr>
      <w:tr w14:paraId="5429C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731" w:type="dxa"/>
            <w:noWrap w:val="0"/>
            <w:vAlign w:val="center"/>
          </w:tcPr>
          <w:p w14:paraId="00331171">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0.25 ~≤ 0.50</w:t>
            </w:r>
          </w:p>
        </w:tc>
        <w:tc>
          <w:tcPr>
            <w:tcW w:w="2484" w:type="dxa"/>
            <w:noWrap w:val="0"/>
            <w:vAlign w:val="center"/>
          </w:tcPr>
          <w:p w14:paraId="3E08E7D0">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±9</w:t>
            </w:r>
          </w:p>
        </w:tc>
      </w:tr>
      <w:tr w14:paraId="28C27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731" w:type="dxa"/>
            <w:noWrap w:val="0"/>
            <w:vAlign w:val="center"/>
          </w:tcPr>
          <w:p w14:paraId="26459E78">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&gt; 0.50 ~≤ 0.75</w:t>
            </w:r>
          </w:p>
        </w:tc>
        <w:tc>
          <w:tcPr>
            <w:tcW w:w="2484" w:type="dxa"/>
            <w:noWrap w:val="0"/>
            <w:vAlign w:val="center"/>
          </w:tcPr>
          <w:p w14:paraId="4B8C1F4A">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±6</w:t>
            </w:r>
          </w:p>
        </w:tc>
      </w:tr>
      <w:tr w14:paraId="22612F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731" w:type="dxa"/>
            <w:noWrap w:val="0"/>
            <w:vAlign w:val="center"/>
          </w:tcPr>
          <w:p w14:paraId="41F489A0">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&gt;0.75~≤ 1.50</w:t>
            </w:r>
          </w:p>
        </w:tc>
        <w:tc>
          <w:tcPr>
            <w:tcW w:w="2484" w:type="dxa"/>
            <w:noWrap w:val="0"/>
            <w:vAlign w:val="center"/>
          </w:tcPr>
          <w:p w14:paraId="7EA71639">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±4</w:t>
            </w:r>
          </w:p>
        </w:tc>
      </w:tr>
      <w:tr w14:paraId="2F23EE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31" w:type="dxa"/>
            <w:tcBorders>
              <w:bottom w:val="single" w:color="auto" w:sz="4" w:space="0"/>
            </w:tcBorders>
            <w:noWrap w:val="0"/>
            <w:vAlign w:val="center"/>
          </w:tcPr>
          <w:p w14:paraId="2508C6D3">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&gt;1.50~≤ 2.50</w:t>
            </w:r>
          </w:p>
        </w:tc>
        <w:tc>
          <w:tcPr>
            <w:tcW w:w="2484" w:type="dxa"/>
            <w:tcBorders>
              <w:bottom w:val="single" w:color="auto" w:sz="4" w:space="0"/>
            </w:tcBorders>
            <w:noWrap w:val="0"/>
            <w:vAlign w:val="center"/>
          </w:tcPr>
          <w:p w14:paraId="3941DB5C">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w:t>
            </w:r>
          </w:p>
        </w:tc>
      </w:tr>
      <w:tr w14:paraId="2E4BB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31" w:type="dxa"/>
            <w:tcBorders>
              <w:top w:val="single" w:color="auto" w:sz="4" w:space="0"/>
            </w:tcBorders>
            <w:noWrap w:val="0"/>
            <w:vAlign w:val="center"/>
          </w:tcPr>
          <w:p w14:paraId="317246DA">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&gt;2.50</w:t>
            </w:r>
          </w:p>
        </w:tc>
        <w:tc>
          <w:tcPr>
            <w:tcW w:w="2484" w:type="dxa"/>
            <w:tcBorders>
              <w:top w:val="single" w:color="auto" w:sz="4" w:space="0"/>
            </w:tcBorders>
            <w:noWrap w:val="0"/>
            <w:vAlign w:val="center"/>
          </w:tcPr>
          <w:p w14:paraId="2172C987">
            <w:pPr>
              <w:tabs>
                <w:tab w:val="left" w:pos="900"/>
              </w:tabs>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bl>
    <w:p w14:paraId="0EF9D887">
      <w:pPr>
        <w:keepNext w:val="0"/>
        <w:keepLines w:val="0"/>
        <w:pageBreakBefore w:val="0"/>
        <w:numPr>
          <w:ilvl w:val="0"/>
          <w:numId w:val="0"/>
        </w:numPr>
        <w:kinsoku/>
        <w:wordWrap/>
        <w:overflowPunct/>
        <w:topLinePunct w:val="0"/>
        <w:bidi w:val="0"/>
        <w:snapToGrid/>
        <w:spacing w:line="578" w:lineRule="exact"/>
        <w:ind w:left="0" w:leftChars="0" w:right="0" w:rightChars="0" w:firstLine="560" w:firstLineChars="200"/>
        <w:jc w:val="center"/>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表1 定配眼镜的柱镜轴位方向偏差</w:t>
      </w:r>
    </w:p>
    <w:p w14:paraId="7F399D46">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柱镜轴位方向偏差不合格，可能会导致看东西模糊、视物变形、重影等,长时间佩戴容易引发眼疲劳。</w:t>
      </w:r>
    </w:p>
    <w:p w14:paraId="460AD260">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textAlignment w:val="auto"/>
        <w:outlineLvl w:val="9"/>
        <w:rPr>
          <w:rFonts w:hint="eastAsia" w:eastAsia="黑体"/>
          <w:sz w:val="32"/>
          <w:szCs w:val="32"/>
          <w:lang w:val="en-US" w:eastAsia="zh-CN"/>
        </w:rPr>
      </w:pPr>
      <w:r>
        <w:rPr>
          <w:rFonts w:hint="eastAsia" w:eastAsia="黑体"/>
          <w:sz w:val="30"/>
          <w:szCs w:val="30"/>
          <w:lang w:val="en-US" w:eastAsia="zh-CN"/>
        </w:rPr>
        <w:t xml:space="preserve">  </w:t>
      </w:r>
      <w:r>
        <w:rPr>
          <w:rFonts w:hint="eastAsia" w:ascii="黑体" w:hAnsi="黑体" w:eastAsia="黑体" w:cs="Times New Roman"/>
          <w:sz w:val="32"/>
          <w:szCs w:val="32"/>
          <w:lang w:val="en-US" w:eastAsia="zh-CN"/>
        </w:rPr>
        <w:t xml:space="preserve"> </w:t>
      </w:r>
      <w:r>
        <w:rPr>
          <w:rFonts w:hint="eastAsia" w:ascii="楷体_GB2312" w:hAnsi="楷体_GB2312" w:eastAsia="楷体_GB2312" w:cs="楷体_GB2312"/>
          <w:sz w:val="30"/>
          <w:szCs w:val="30"/>
          <w:lang w:val="en-US" w:eastAsia="zh-CN"/>
        </w:rPr>
        <w:t xml:space="preserve"> （五）镜片顶焦度</w:t>
      </w:r>
    </w:p>
    <w:p w14:paraId="131501A0">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镜片顶焦度作为配装眼镜、老视成镜的重要光学指标之一，会直接影响使用者的清晰度和佩戴舒适度。GB 10810.1《眼镜镜片 第1部分：单光和多焦点镜片》对眼镜的镜片顶焦度进行了规定，标准要求眼镜镜片顶焦度应符合表2规定。</w:t>
      </w:r>
    </w:p>
    <w:p w14:paraId="09A8A07C">
      <w:pPr>
        <w:keepNext w:val="0"/>
        <w:keepLines w:val="0"/>
        <w:pageBreakBefore w:val="0"/>
        <w:numPr>
          <w:ilvl w:val="0"/>
          <w:numId w:val="0"/>
        </w:numPr>
        <w:kinsoku/>
        <w:wordWrap/>
        <w:overflowPunct/>
        <w:topLinePunct w:val="0"/>
        <w:bidi w:val="0"/>
        <w:snapToGrid/>
        <w:spacing w:line="578" w:lineRule="exac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3"/>
        <w:gridCol w:w="1275"/>
        <w:gridCol w:w="1620"/>
        <w:gridCol w:w="1620"/>
        <w:gridCol w:w="1680"/>
        <w:gridCol w:w="1200"/>
      </w:tblGrid>
      <w:tr w14:paraId="3F0FC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893" w:type="dxa"/>
            <w:vMerge w:val="restart"/>
            <w:noWrap w:val="0"/>
            <w:vAlign w:val="center"/>
          </w:tcPr>
          <w:p w14:paraId="035B7CBE">
            <w:pPr>
              <w:rPr>
                <w:rFonts w:hint="eastAsia"/>
              </w:rPr>
            </w:pPr>
            <w:r>
              <w:rPr>
                <w:rFonts w:hint="eastAsia"/>
              </w:rPr>
              <w:t>顶焦度绝对值最大的子午面上的顶焦度值</w:t>
            </w:r>
          </w:p>
        </w:tc>
        <w:tc>
          <w:tcPr>
            <w:tcW w:w="1275" w:type="dxa"/>
            <w:vMerge w:val="restart"/>
            <w:noWrap w:val="0"/>
            <w:vAlign w:val="center"/>
          </w:tcPr>
          <w:p w14:paraId="2D2E70F2">
            <w:pPr>
              <w:jc w:val="center"/>
              <w:rPr>
                <w:rFonts w:hint="eastAsia"/>
              </w:rPr>
            </w:pPr>
            <w:r>
              <w:rPr>
                <w:rFonts w:hint="eastAsia"/>
              </w:rPr>
              <w:t>每主子午面顶焦度允差</w:t>
            </w:r>
          </w:p>
          <w:p w14:paraId="75E3BE2E">
            <w:pPr>
              <w:jc w:val="center"/>
              <w:rPr>
                <w:rFonts w:hint="eastAsia"/>
              </w:rPr>
            </w:pPr>
            <w:r>
              <w:rPr>
                <w:rFonts w:hint="eastAsia"/>
              </w:rPr>
              <w:t>A</w:t>
            </w:r>
          </w:p>
        </w:tc>
        <w:tc>
          <w:tcPr>
            <w:tcW w:w="6120" w:type="dxa"/>
            <w:gridSpan w:val="4"/>
            <w:noWrap w:val="0"/>
            <w:vAlign w:val="center"/>
          </w:tcPr>
          <w:p w14:paraId="650911EA">
            <w:pPr>
              <w:jc w:val="center"/>
              <w:rPr>
                <w:rFonts w:hint="eastAsia"/>
              </w:rPr>
            </w:pPr>
            <w:r>
              <w:rPr>
                <w:rFonts w:hint="eastAsia"/>
              </w:rPr>
              <w:t>柱镜允差  B</w:t>
            </w:r>
          </w:p>
        </w:tc>
      </w:tr>
      <w:tr w14:paraId="1C2061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1893" w:type="dxa"/>
            <w:vMerge w:val="continue"/>
            <w:noWrap w:val="0"/>
            <w:vAlign w:val="center"/>
          </w:tcPr>
          <w:p w14:paraId="54C2123F">
            <w:pPr>
              <w:jc w:val="center"/>
              <w:rPr>
                <w:rFonts w:hint="eastAsia"/>
              </w:rPr>
            </w:pPr>
          </w:p>
        </w:tc>
        <w:tc>
          <w:tcPr>
            <w:tcW w:w="1275" w:type="dxa"/>
            <w:vMerge w:val="continue"/>
            <w:noWrap w:val="0"/>
            <w:vAlign w:val="center"/>
          </w:tcPr>
          <w:p w14:paraId="096B42DE">
            <w:pPr>
              <w:jc w:val="center"/>
              <w:rPr>
                <w:rFonts w:hint="eastAsia"/>
              </w:rPr>
            </w:pPr>
          </w:p>
        </w:tc>
        <w:tc>
          <w:tcPr>
            <w:tcW w:w="1620" w:type="dxa"/>
            <w:noWrap w:val="0"/>
            <w:vAlign w:val="center"/>
          </w:tcPr>
          <w:p w14:paraId="27B812F0">
            <w:pPr>
              <w:jc w:val="center"/>
              <w:rPr>
                <w:rFonts w:hint="eastAsia"/>
              </w:rPr>
            </w:pPr>
            <w:r>
              <w:rPr>
                <w:rFonts w:hint="eastAsia"/>
              </w:rPr>
              <w:t>≥0.00和≤0.75</w:t>
            </w:r>
          </w:p>
        </w:tc>
        <w:tc>
          <w:tcPr>
            <w:tcW w:w="1620" w:type="dxa"/>
            <w:noWrap w:val="0"/>
            <w:vAlign w:val="center"/>
          </w:tcPr>
          <w:p w14:paraId="62D4ADE2">
            <w:pPr>
              <w:jc w:val="center"/>
              <w:rPr>
                <w:rFonts w:hint="eastAsia"/>
              </w:rPr>
            </w:pPr>
            <w:r>
              <w:rPr>
                <w:rFonts w:hint="eastAsia"/>
              </w:rPr>
              <w:t>＞0.75和≤4.00</w:t>
            </w:r>
          </w:p>
        </w:tc>
        <w:tc>
          <w:tcPr>
            <w:tcW w:w="1680" w:type="dxa"/>
            <w:noWrap w:val="0"/>
            <w:vAlign w:val="center"/>
          </w:tcPr>
          <w:p w14:paraId="6FA14CFB">
            <w:pPr>
              <w:jc w:val="center"/>
              <w:rPr>
                <w:rFonts w:hint="eastAsia"/>
              </w:rPr>
            </w:pPr>
            <w:r>
              <w:rPr>
                <w:rFonts w:hint="eastAsia"/>
              </w:rPr>
              <w:t>＞4.00和≤6.00</w:t>
            </w:r>
          </w:p>
        </w:tc>
        <w:tc>
          <w:tcPr>
            <w:tcW w:w="1200" w:type="dxa"/>
            <w:noWrap w:val="0"/>
            <w:vAlign w:val="center"/>
          </w:tcPr>
          <w:p w14:paraId="7D0E337A">
            <w:pPr>
              <w:jc w:val="center"/>
              <w:rPr>
                <w:rFonts w:hint="eastAsia"/>
              </w:rPr>
            </w:pPr>
            <w:r>
              <w:rPr>
                <w:rFonts w:hint="eastAsia"/>
              </w:rPr>
              <w:t>＞6.00</w:t>
            </w:r>
          </w:p>
        </w:tc>
      </w:tr>
      <w:tr w14:paraId="07DD92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2CCDF95D">
            <w:pPr>
              <w:jc w:val="center"/>
            </w:pPr>
            <w:r>
              <w:rPr>
                <w:rFonts w:hint="eastAsia"/>
              </w:rPr>
              <w:t>≥0.00和≤</w:t>
            </w:r>
            <w:r>
              <w:t>3.00</w:t>
            </w:r>
          </w:p>
        </w:tc>
        <w:tc>
          <w:tcPr>
            <w:tcW w:w="1275" w:type="dxa"/>
            <w:vMerge w:val="restart"/>
            <w:noWrap w:val="0"/>
            <w:vAlign w:val="center"/>
          </w:tcPr>
          <w:p w14:paraId="4A5E48AF">
            <w:pPr>
              <w:jc w:val="center"/>
              <w:rPr>
                <w:rFonts w:hint="eastAsia"/>
              </w:rPr>
            </w:pPr>
            <w:r>
              <w:rPr>
                <w:rFonts w:hint="eastAsia" w:ascii="宋体"/>
              </w:rPr>
              <w:t>±</w:t>
            </w:r>
            <w:r>
              <w:rPr>
                <w:rFonts w:hint="eastAsia"/>
              </w:rPr>
              <w:t>0.12</w:t>
            </w:r>
          </w:p>
        </w:tc>
        <w:tc>
          <w:tcPr>
            <w:tcW w:w="1620" w:type="dxa"/>
            <w:noWrap w:val="0"/>
            <w:vAlign w:val="center"/>
          </w:tcPr>
          <w:p w14:paraId="12305C80">
            <w:pPr>
              <w:jc w:val="center"/>
              <w:rPr>
                <w:rFonts w:hint="eastAsia"/>
              </w:rPr>
            </w:pPr>
            <w:r>
              <w:rPr>
                <w:rFonts w:hint="eastAsia" w:ascii="宋体"/>
              </w:rPr>
              <w:t>±</w:t>
            </w:r>
            <w:r>
              <w:rPr>
                <w:rFonts w:hint="eastAsia"/>
              </w:rPr>
              <w:t>0.09</w:t>
            </w:r>
          </w:p>
        </w:tc>
        <w:tc>
          <w:tcPr>
            <w:tcW w:w="1620" w:type="dxa"/>
            <w:vMerge w:val="restart"/>
            <w:noWrap w:val="0"/>
            <w:vAlign w:val="center"/>
          </w:tcPr>
          <w:p w14:paraId="0504A7FB">
            <w:pPr>
              <w:jc w:val="center"/>
              <w:rPr>
                <w:rFonts w:hint="eastAsia"/>
              </w:rPr>
            </w:pPr>
            <w:r>
              <w:rPr>
                <w:rFonts w:hint="eastAsia" w:ascii="宋体"/>
              </w:rPr>
              <w:t>±</w:t>
            </w:r>
            <w:r>
              <w:rPr>
                <w:rFonts w:hint="eastAsia"/>
              </w:rPr>
              <w:t>0.12</w:t>
            </w:r>
          </w:p>
        </w:tc>
        <w:tc>
          <w:tcPr>
            <w:tcW w:w="1680" w:type="dxa"/>
            <w:vMerge w:val="restart"/>
            <w:noWrap w:val="0"/>
            <w:vAlign w:val="center"/>
          </w:tcPr>
          <w:p w14:paraId="2199CFDB">
            <w:pPr>
              <w:jc w:val="center"/>
              <w:rPr>
                <w:rFonts w:hint="eastAsia"/>
              </w:rPr>
            </w:pPr>
            <w:r>
              <w:rPr>
                <w:rFonts w:hint="eastAsia" w:ascii="宋体"/>
              </w:rPr>
              <w:t>±</w:t>
            </w:r>
            <w:r>
              <w:rPr>
                <w:rFonts w:hint="eastAsia"/>
              </w:rPr>
              <w:t>0.18</w:t>
            </w:r>
          </w:p>
        </w:tc>
        <w:tc>
          <w:tcPr>
            <w:tcW w:w="1200" w:type="dxa"/>
            <w:vMerge w:val="restart"/>
            <w:noWrap w:val="0"/>
            <w:vAlign w:val="center"/>
          </w:tcPr>
          <w:p w14:paraId="4D2B9BF1">
            <w:pPr>
              <w:jc w:val="center"/>
              <w:rPr>
                <w:rFonts w:hint="eastAsia"/>
              </w:rPr>
            </w:pPr>
            <w:r>
              <w:rPr>
                <w:rFonts w:hint="eastAsia" w:ascii="宋体"/>
              </w:rPr>
              <w:t>±</w:t>
            </w:r>
            <w:r>
              <w:rPr>
                <w:rFonts w:hint="eastAsia"/>
              </w:rPr>
              <w:t>0.25</w:t>
            </w:r>
          </w:p>
        </w:tc>
      </w:tr>
      <w:tr w14:paraId="6490A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26854353">
            <w:pPr>
              <w:jc w:val="center"/>
            </w:pPr>
            <w:r>
              <w:rPr>
                <w:rFonts w:hint="eastAsia"/>
              </w:rPr>
              <w:t>＞</w:t>
            </w:r>
            <w:r>
              <w:t>3.00</w:t>
            </w:r>
            <w:r>
              <w:rPr>
                <w:rFonts w:hint="eastAsia"/>
              </w:rPr>
              <w:t>和≤</w:t>
            </w:r>
            <w:r>
              <w:t>6.00</w:t>
            </w:r>
          </w:p>
        </w:tc>
        <w:tc>
          <w:tcPr>
            <w:tcW w:w="1275" w:type="dxa"/>
            <w:vMerge w:val="continue"/>
            <w:noWrap w:val="0"/>
            <w:vAlign w:val="center"/>
          </w:tcPr>
          <w:p w14:paraId="41781675">
            <w:pPr>
              <w:jc w:val="center"/>
              <w:rPr>
                <w:rFonts w:hint="eastAsia"/>
              </w:rPr>
            </w:pPr>
          </w:p>
        </w:tc>
        <w:tc>
          <w:tcPr>
            <w:tcW w:w="1620" w:type="dxa"/>
            <w:vMerge w:val="restart"/>
            <w:noWrap w:val="0"/>
            <w:vAlign w:val="center"/>
          </w:tcPr>
          <w:p w14:paraId="4AFD8C7C">
            <w:pPr>
              <w:jc w:val="center"/>
              <w:rPr>
                <w:rFonts w:hint="eastAsia"/>
              </w:rPr>
            </w:pPr>
            <w:r>
              <w:rPr>
                <w:rFonts w:hint="eastAsia" w:ascii="宋体"/>
              </w:rPr>
              <w:t>±</w:t>
            </w:r>
            <w:r>
              <w:rPr>
                <w:rFonts w:hint="eastAsia"/>
              </w:rPr>
              <w:t>0.12</w:t>
            </w:r>
          </w:p>
        </w:tc>
        <w:tc>
          <w:tcPr>
            <w:tcW w:w="1620" w:type="dxa"/>
            <w:vMerge w:val="continue"/>
            <w:noWrap w:val="0"/>
            <w:vAlign w:val="center"/>
          </w:tcPr>
          <w:p w14:paraId="35C8879B">
            <w:pPr>
              <w:jc w:val="center"/>
              <w:rPr>
                <w:rFonts w:hint="eastAsia"/>
              </w:rPr>
            </w:pPr>
          </w:p>
        </w:tc>
        <w:tc>
          <w:tcPr>
            <w:tcW w:w="1680" w:type="dxa"/>
            <w:vMerge w:val="continue"/>
            <w:noWrap w:val="0"/>
            <w:vAlign w:val="center"/>
          </w:tcPr>
          <w:p w14:paraId="08A2AF22">
            <w:pPr>
              <w:jc w:val="center"/>
              <w:rPr>
                <w:rFonts w:hint="eastAsia"/>
              </w:rPr>
            </w:pPr>
          </w:p>
        </w:tc>
        <w:tc>
          <w:tcPr>
            <w:tcW w:w="1200" w:type="dxa"/>
            <w:vMerge w:val="continue"/>
            <w:noWrap w:val="0"/>
            <w:vAlign w:val="center"/>
          </w:tcPr>
          <w:p w14:paraId="7367E66B">
            <w:pPr>
              <w:jc w:val="center"/>
              <w:rPr>
                <w:rFonts w:hint="eastAsia"/>
              </w:rPr>
            </w:pPr>
          </w:p>
        </w:tc>
      </w:tr>
      <w:tr w14:paraId="0C7BF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1A6F2031">
            <w:pPr>
              <w:jc w:val="center"/>
            </w:pPr>
            <w:r>
              <w:rPr>
                <w:rFonts w:hint="eastAsia"/>
              </w:rPr>
              <w:t>＞</w:t>
            </w:r>
            <w:r>
              <w:t>6.00</w:t>
            </w:r>
            <w:r>
              <w:rPr>
                <w:rFonts w:hint="eastAsia"/>
              </w:rPr>
              <w:t>和≤</w:t>
            </w:r>
            <w:r>
              <w:t>9.00</w:t>
            </w:r>
          </w:p>
        </w:tc>
        <w:tc>
          <w:tcPr>
            <w:tcW w:w="1275" w:type="dxa"/>
            <w:vMerge w:val="continue"/>
            <w:noWrap w:val="0"/>
            <w:vAlign w:val="center"/>
          </w:tcPr>
          <w:p w14:paraId="0F8B0BD0">
            <w:pPr>
              <w:jc w:val="center"/>
              <w:rPr>
                <w:rFonts w:hint="eastAsia"/>
              </w:rPr>
            </w:pPr>
          </w:p>
        </w:tc>
        <w:tc>
          <w:tcPr>
            <w:tcW w:w="1620" w:type="dxa"/>
            <w:vMerge w:val="continue"/>
            <w:noWrap w:val="0"/>
            <w:vAlign w:val="center"/>
          </w:tcPr>
          <w:p w14:paraId="21320A1A">
            <w:pPr>
              <w:jc w:val="center"/>
              <w:rPr>
                <w:rFonts w:hint="eastAsia"/>
              </w:rPr>
            </w:pPr>
          </w:p>
        </w:tc>
        <w:tc>
          <w:tcPr>
            <w:tcW w:w="1620" w:type="dxa"/>
            <w:vMerge w:val="restart"/>
            <w:noWrap w:val="0"/>
            <w:vAlign w:val="center"/>
          </w:tcPr>
          <w:p w14:paraId="4B19FB10">
            <w:pPr>
              <w:jc w:val="center"/>
              <w:rPr>
                <w:rFonts w:hint="eastAsia"/>
              </w:rPr>
            </w:pPr>
            <w:r>
              <w:rPr>
                <w:rFonts w:hint="eastAsia" w:ascii="宋体"/>
              </w:rPr>
              <w:t>±</w:t>
            </w:r>
            <w:r>
              <w:rPr>
                <w:rFonts w:hint="eastAsia"/>
              </w:rPr>
              <w:t>0.18</w:t>
            </w:r>
          </w:p>
        </w:tc>
        <w:tc>
          <w:tcPr>
            <w:tcW w:w="1680" w:type="dxa"/>
            <w:vMerge w:val="continue"/>
            <w:noWrap w:val="0"/>
            <w:vAlign w:val="center"/>
          </w:tcPr>
          <w:p w14:paraId="75E26A66">
            <w:pPr>
              <w:jc w:val="center"/>
              <w:rPr>
                <w:rFonts w:hint="eastAsia"/>
              </w:rPr>
            </w:pPr>
          </w:p>
        </w:tc>
        <w:tc>
          <w:tcPr>
            <w:tcW w:w="1200" w:type="dxa"/>
            <w:vMerge w:val="continue"/>
            <w:noWrap w:val="0"/>
            <w:vAlign w:val="center"/>
          </w:tcPr>
          <w:p w14:paraId="75AD162B">
            <w:pPr>
              <w:jc w:val="center"/>
              <w:rPr>
                <w:rFonts w:hint="eastAsia"/>
              </w:rPr>
            </w:pPr>
          </w:p>
        </w:tc>
      </w:tr>
      <w:tr w14:paraId="08D4EC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0D75C6B3">
            <w:pPr>
              <w:jc w:val="center"/>
            </w:pPr>
            <w:r>
              <w:rPr>
                <w:rFonts w:hint="eastAsia"/>
              </w:rPr>
              <w:t>＞</w:t>
            </w:r>
            <w:r>
              <w:t>9.00</w:t>
            </w:r>
            <w:r>
              <w:rPr>
                <w:rFonts w:hint="eastAsia"/>
              </w:rPr>
              <w:t>和≤</w:t>
            </w:r>
            <w:r>
              <w:t>12.00</w:t>
            </w:r>
          </w:p>
        </w:tc>
        <w:tc>
          <w:tcPr>
            <w:tcW w:w="1275" w:type="dxa"/>
            <w:noWrap w:val="0"/>
            <w:vAlign w:val="center"/>
          </w:tcPr>
          <w:p w14:paraId="6C43B020">
            <w:pPr>
              <w:jc w:val="center"/>
              <w:rPr>
                <w:rFonts w:hint="eastAsia"/>
              </w:rPr>
            </w:pPr>
            <w:r>
              <w:rPr>
                <w:rFonts w:hint="eastAsia" w:ascii="宋体"/>
              </w:rPr>
              <w:t>±</w:t>
            </w:r>
            <w:r>
              <w:rPr>
                <w:rFonts w:hint="eastAsia"/>
              </w:rPr>
              <w:t>0.18</w:t>
            </w:r>
          </w:p>
        </w:tc>
        <w:tc>
          <w:tcPr>
            <w:tcW w:w="1620" w:type="dxa"/>
            <w:vMerge w:val="continue"/>
            <w:noWrap w:val="0"/>
            <w:vAlign w:val="center"/>
          </w:tcPr>
          <w:p w14:paraId="2945C9E2">
            <w:pPr>
              <w:jc w:val="center"/>
              <w:rPr>
                <w:rFonts w:hint="eastAsia"/>
              </w:rPr>
            </w:pPr>
          </w:p>
        </w:tc>
        <w:tc>
          <w:tcPr>
            <w:tcW w:w="1620" w:type="dxa"/>
            <w:vMerge w:val="continue"/>
            <w:noWrap w:val="0"/>
            <w:vAlign w:val="center"/>
          </w:tcPr>
          <w:p w14:paraId="4EE2913A">
            <w:pPr>
              <w:jc w:val="center"/>
              <w:rPr>
                <w:rFonts w:hint="eastAsia"/>
              </w:rPr>
            </w:pPr>
          </w:p>
        </w:tc>
        <w:tc>
          <w:tcPr>
            <w:tcW w:w="1680" w:type="dxa"/>
            <w:vMerge w:val="restart"/>
            <w:noWrap w:val="0"/>
            <w:vAlign w:val="center"/>
          </w:tcPr>
          <w:p w14:paraId="0AF97D4A">
            <w:pPr>
              <w:jc w:val="center"/>
              <w:rPr>
                <w:rFonts w:hint="eastAsia"/>
              </w:rPr>
            </w:pPr>
            <w:r>
              <w:rPr>
                <w:rFonts w:hint="eastAsia" w:ascii="宋体"/>
              </w:rPr>
              <w:t>±</w:t>
            </w:r>
            <w:r>
              <w:rPr>
                <w:rFonts w:hint="eastAsia"/>
              </w:rPr>
              <w:t>0.25</w:t>
            </w:r>
          </w:p>
        </w:tc>
        <w:tc>
          <w:tcPr>
            <w:tcW w:w="1200" w:type="dxa"/>
            <w:vMerge w:val="continue"/>
            <w:noWrap w:val="0"/>
            <w:vAlign w:val="center"/>
          </w:tcPr>
          <w:p w14:paraId="613A2205">
            <w:pPr>
              <w:jc w:val="center"/>
              <w:rPr>
                <w:rFonts w:hint="eastAsia"/>
              </w:rPr>
            </w:pPr>
          </w:p>
        </w:tc>
      </w:tr>
      <w:tr w14:paraId="3CF5B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4AE744AA">
            <w:pPr>
              <w:jc w:val="center"/>
            </w:pPr>
            <w:r>
              <w:rPr>
                <w:rFonts w:hint="eastAsia"/>
              </w:rPr>
              <w:t>＞</w:t>
            </w:r>
            <w:r>
              <w:t>12.00</w:t>
            </w:r>
            <w:r>
              <w:rPr>
                <w:rFonts w:hint="eastAsia"/>
              </w:rPr>
              <w:t>和≤</w:t>
            </w:r>
            <w:r>
              <w:t>20.00</w:t>
            </w:r>
          </w:p>
        </w:tc>
        <w:tc>
          <w:tcPr>
            <w:tcW w:w="1275" w:type="dxa"/>
            <w:noWrap w:val="0"/>
            <w:vAlign w:val="center"/>
          </w:tcPr>
          <w:p w14:paraId="5F52C8DB">
            <w:pPr>
              <w:jc w:val="center"/>
              <w:rPr>
                <w:rFonts w:hint="eastAsia"/>
              </w:rPr>
            </w:pPr>
            <w:r>
              <w:rPr>
                <w:rFonts w:hint="eastAsia" w:ascii="宋体"/>
              </w:rPr>
              <w:t>±</w:t>
            </w:r>
            <w:r>
              <w:rPr>
                <w:rFonts w:hint="eastAsia"/>
              </w:rPr>
              <w:t>0.25</w:t>
            </w:r>
          </w:p>
        </w:tc>
        <w:tc>
          <w:tcPr>
            <w:tcW w:w="1620" w:type="dxa"/>
            <w:noWrap w:val="0"/>
            <w:vAlign w:val="center"/>
          </w:tcPr>
          <w:p w14:paraId="32BC1234">
            <w:pPr>
              <w:jc w:val="center"/>
              <w:rPr>
                <w:rFonts w:hint="eastAsia"/>
              </w:rPr>
            </w:pPr>
            <w:r>
              <w:rPr>
                <w:rFonts w:hint="eastAsia" w:ascii="宋体"/>
              </w:rPr>
              <w:t>±</w:t>
            </w:r>
            <w:r>
              <w:rPr>
                <w:rFonts w:hint="eastAsia"/>
              </w:rPr>
              <w:t>0.18</w:t>
            </w:r>
          </w:p>
        </w:tc>
        <w:tc>
          <w:tcPr>
            <w:tcW w:w="1620" w:type="dxa"/>
            <w:vMerge w:val="restart"/>
            <w:noWrap w:val="0"/>
            <w:vAlign w:val="center"/>
          </w:tcPr>
          <w:p w14:paraId="0B4B5AB4">
            <w:pPr>
              <w:jc w:val="center"/>
              <w:rPr>
                <w:rFonts w:hint="eastAsia"/>
              </w:rPr>
            </w:pPr>
            <w:r>
              <w:rPr>
                <w:rFonts w:hint="eastAsia" w:ascii="宋体"/>
              </w:rPr>
              <w:t>±</w:t>
            </w:r>
            <w:r>
              <w:rPr>
                <w:rFonts w:hint="eastAsia"/>
              </w:rPr>
              <w:t>0.25</w:t>
            </w:r>
          </w:p>
        </w:tc>
        <w:tc>
          <w:tcPr>
            <w:tcW w:w="1680" w:type="dxa"/>
            <w:vMerge w:val="continue"/>
            <w:noWrap w:val="0"/>
            <w:vAlign w:val="center"/>
          </w:tcPr>
          <w:p w14:paraId="332CBAE4">
            <w:pPr>
              <w:jc w:val="center"/>
              <w:rPr>
                <w:rFonts w:hint="eastAsia"/>
              </w:rPr>
            </w:pPr>
          </w:p>
        </w:tc>
        <w:tc>
          <w:tcPr>
            <w:tcW w:w="1200" w:type="dxa"/>
            <w:vMerge w:val="continue"/>
            <w:noWrap w:val="0"/>
            <w:vAlign w:val="center"/>
          </w:tcPr>
          <w:p w14:paraId="4EEBAD6D">
            <w:pPr>
              <w:jc w:val="center"/>
              <w:rPr>
                <w:rFonts w:hint="eastAsia"/>
              </w:rPr>
            </w:pPr>
          </w:p>
        </w:tc>
      </w:tr>
      <w:tr w14:paraId="1EC44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893" w:type="dxa"/>
            <w:noWrap w:val="0"/>
            <w:vAlign w:val="center"/>
          </w:tcPr>
          <w:p w14:paraId="3DCF3057">
            <w:pPr>
              <w:jc w:val="center"/>
            </w:pPr>
            <w:r>
              <w:rPr>
                <w:rFonts w:hint="eastAsia"/>
              </w:rPr>
              <w:t>＞</w:t>
            </w:r>
            <w:r>
              <w:t>20.00</w:t>
            </w:r>
          </w:p>
        </w:tc>
        <w:tc>
          <w:tcPr>
            <w:tcW w:w="1275" w:type="dxa"/>
            <w:noWrap w:val="0"/>
            <w:vAlign w:val="center"/>
          </w:tcPr>
          <w:p w14:paraId="31A1F64B">
            <w:pPr>
              <w:jc w:val="center"/>
              <w:rPr>
                <w:rFonts w:hint="eastAsia"/>
              </w:rPr>
            </w:pPr>
            <w:r>
              <w:rPr>
                <w:rFonts w:hint="eastAsia" w:ascii="宋体"/>
              </w:rPr>
              <w:t>±</w:t>
            </w:r>
            <w:r>
              <w:rPr>
                <w:rFonts w:hint="eastAsia"/>
              </w:rPr>
              <w:t>0.37</w:t>
            </w:r>
          </w:p>
        </w:tc>
        <w:tc>
          <w:tcPr>
            <w:tcW w:w="1620" w:type="dxa"/>
            <w:noWrap w:val="0"/>
            <w:vAlign w:val="center"/>
          </w:tcPr>
          <w:p w14:paraId="6A335392">
            <w:pPr>
              <w:jc w:val="center"/>
              <w:rPr>
                <w:rFonts w:hint="eastAsia"/>
              </w:rPr>
            </w:pPr>
            <w:r>
              <w:rPr>
                <w:rFonts w:hint="eastAsia" w:ascii="宋体"/>
              </w:rPr>
              <w:t>±</w:t>
            </w:r>
            <w:r>
              <w:rPr>
                <w:rFonts w:hint="eastAsia"/>
              </w:rPr>
              <w:t>0.25</w:t>
            </w:r>
          </w:p>
        </w:tc>
        <w:tc>
          <w:tcPr>
            <w:tcW w:w="1620" w:type="dxa"/>
            <w:vMerge w:val="continue"/>
            <w:noWrap w:val="0"/>
            <w:vAlign w:val="center"/>
          </w:tcPr>
          <w:p w14:paraId="07D447B5">
            <w:pPr>
              <w:jc w:val="center"/>
              <w:rPr>
                <w:rFonts w:hint="eastAsia"/>
              </w:rPr>
            </w:pPr>
          </w:p>
        </w:tc>
        <w:tc>
          <w:tcPr>
            <w:tcW w:w="1680" w:type="dxa"/>
            <w:noWrap w:val="0"/>
            <w:vAlign w:val="center"/>
          </w:tcPr>
          <w:p w14:paraId="1A895653">
            <w:pPr>
              <w:jc w:val="center"/>
              <w:rPr>
                <w:rFonts w:hint="eastAsia"/>
              </w:rPr>
            </w:pPr>
            <w:r>
              <w:rPr>
                <w:rFonts w:hint="eastAsia" w:ascii="宋体"/>
              </w:rPr>
              <w:t>±</w:t>
            </w:r>
            <w:r>
              <w:rPr>
                <w:rFonts w:hint="eastAsia"/>
              </w:rPr>
              <w:t>0.37</w:t>
            </w:r>
          </w:p>
        </w:tc>
        <w:tc>
          <w:tcPr>
            <w:tcW w:w="1200" w:type="dxa"/>
            <w:noWrap w:val="0"/>
            <w:vAlign w:val="center"/>
          </w:tcPr>
          <w:p w14:paraId="3EFD1314">
            <w:pPr>
              <w:jc w:val="center"/>
              <w:rPr>
                <w:rFonts w:hint="eastAsia"/>
              </w:rPr>
            </w:pPr>
            <w:r>
              <w:rPr>
                <w:rFonts w:hint="eastAsia" w:ascii="宋体"/>
              </w:rPr>
              <w:t>±</w:t>
            </w:r>
            <w:r>
              <w:rPr>
                <w:rFonts w:hint="eastAsia"/>
              </w:rPr>
              <w:t>0.37</w:t>
            </w:r>
          </w:p>
        </w:tc>
      </w:tr>
    </w:tbl>
    <w:p w14:paraId="4EE411F0">
      <w:pPr>
        <w:keepNext w:val="0"/>
        <w:keepLines w:val="0"/>
        <w:pageBreakBefore w:val="0"/>
        <w:numPr>
          <w:ilvl w:val="0"/>
          <w:numId w:val="0"/>
        </w:numPr>
        <w:kinsoku/>
        <w:wordWrap/>
        <w:overflowPunct/>
        <w:topLinePunct w:val="0"/>
        <w:bidi w:val="0"/>
        <w:snapToGrid/>
        <w:spacing w:line="578" w:lineRule="exact"/>
        <w:ind w:left="0" w:leftChars="0" w:right="0" w:rightChars="0" w:firstLine="560" w:firstLineChars="200"/>
        <w:jc w:val="center"/>
        <w:textAlignment w:val="auto"/>
        <w:outlineLvl w:val="9"/>
        <w:rPr>
          <w:rFonts w:hint="eastAsia" w:ascii="仿宋_GB2312" w:hAnsi="Times New Roman" w:eastAsia="仿宋_GB2312" w:cs="Times New Roman"/>
          <w:kern w:val="2"/>
          <w:sz w:val="28"/>
          <w:szCs w:val="28"/>
          <w:lang w:val="en-US" w:eastAsia="zh-CN" w:bidi="ar-SA"/>
        </w:rPr>
      </w:pPr>
      <w:r>
        <w:rPr>
          <w:rFonts w:hint="eastAsia" w:eastAsia="仿宋_GB2312" w:cs="Times New Roman"/>
          <w:color w:val="auto"/>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表2镜片顶焦度允差</w:t>
      </w:r>
    </w:p>
    <w:p w14:paraId="70F455F5">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镜片顶焦度不合格，可能会导致看东西模糊、视物变形、重影等,长时间佩戴容易引发眼疲劳。</w:t>
      </w:r>
    </w:p>
    <w:p w14:paraId="6629F5E0">
      <w:pPr>
        <w:autoSpaceDE w:val="0"/>
        <w:autoSpaceDN w:val="0"/>
        <w:adjustRightInd w:val="0"/>
        <w:spacing w:line="578" w:lineRule="exact"/>
        <w:ind w:firstLine="640" w:firstLineChars="200"/>
        <w:rPr>
          <w:rFonts w:hint="eastAsia" w:ascii="仿宋_GB2312" w:eastAsia="仿宋_GB2312"/>
          <w:sz w:val="32"/>
          <w:szCs w:val="32"/>
          <w:lang w:val="en-US" w:eastAsia="zh-CN"/>
        </w:rPr>
      </w:pPr>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AB091-645A-4780-95B2-36B4E5C655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504FD3-9334-4C9E-8185-4F8E677A05CD}"/>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embedRegular r:id="rId3" w:fontKey="{E4F2A88F-5D2B-4380-B0AC-3841C90D4677}"/>
  </w:font>
  <w:font w:name="仿宋_GB2312">
    <w:altName w:val="仿宋"/>
    <w:panose1 w:val="02010609030101010101"/>
    <w:charset w:val="86"/>
    <w:family w:val="modern"/>
    <w:pitch w:val="default"/>
    <w:sig w:usb0="00000000" w:usb1="00000000" w:usb2="00000000" w:usb3="00000000" w:csb0="00040000" w:csb1="00000000"/>
    <w:embedRegular r:id="rId4" w:fontKey="{C1C59A0A-9535-4287-B28C-9CEDD1C4444E}"/>
  </w:font>
  <w:font w:name="楷体_GB2312">
    <w:altName w:val="楷体"/>
    <w:panose1 w:val="02010609030101010101"/>
    <w:charset w:val="86"/>
    <w:family w:val="auto"/>
    <w:pitch w:val="default"/>
    <w:sig w:usb0="00000000" w:usb1="00000000" w:usb2="00000000" w:usb3="00000000" w:csb0="00040000" w:csb1="00000000"/>
    <w:embedRegular r:id="rId5" w:fontKey="{6208C147-D214-497B-B65E-63FFB260B38B}"/>
  </w:font>
  <w:font w:name="仿宋">
    <w:panose1 w:val="02010609060101010101"/>
    <w:charset w:val="86"/>
    <w:family w:val="modern"/>
    <w:pitch w:val="default"/>
    <w:sig w:usb0="800002BF" w:usb1="38CF7CFA" w:usb2="00000016" w:usb3="00000000" w:csb0="00040001" w:csb1="00000000"/>
    <w:embedRegular r:id="rId6" w:fontKey="{7DA2905B-F0D2-4C36-9450-E687C3E42CC2}"/>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6AE2F"/>
    <w:multiLevelType w:val="singleLevel"/>
    <w:tmpl w:val="9AF6AE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g2MDViYjg2YmYyZWIyNDQ3YjJjNmU5NDM4ZjgifQ=="/>
  </w:docVars>
  <w:rsids>
    <w:rsidRoot w:val="CEA33675"/>
    <w:rsid w:val="000526C6"/>
    <w:rsid w:val="00073052"/>
    <w:rsid w:val="00076BDB"/>
    <w:rsid w:val="000F78C1"/>
    <w:rsid w:val="00125DCF"/>
    <w:rsid w:val="001425BE"/>
    <w:rsid w:val="001829DF"/>
    <w:rsid w:val="001B6D9A"/>
    <w:rsid w:val="001E23E2"/>
    <w:rsid w:val="001F4745"/>
    <w:rsid w:val="00212A61"/>
    <w:rsid w:val="00242CEF"/>
    <w:rsid w:val="002921CB"/>
    <w:rsid w:val="003247FD"/>
    <w:rsid w:val="00336A75"/>
    <w:rsid w:val="00365F75"/>
    <w:rsid w:val="00371B1C"/>
    <w:rsid w:val="003A1BF8"/>
    <w:rsid w:val="003D09D5"/>
    <w:rsid w:val="00401491"/>
    <w:rsid w:val="00404ACA"/>
    <w:rsid w:val="00446695"/>
    <w:rsid w:val="004B2A75"/>
    <w:rsid w:val="004F22CB"/>
    <w:rsid w:val="0050478F"/>
    <w:rsid w:val="00510451"/>
    <w:rsid w:val="00537E0D"/>
    <w:rsid w:val="00580D48"/>
    <w:rsid w:val="005A111A"/>
    <w:rsid w:val="005B0A2F"/>
    <w:rsid w:val="005C7580"/>
    <w:rsid w:val="005E555F"/>
    <w:rsid w:val="00687E35"/>
    <w:rsid w:val="006A3D57"/>
    <w:rsid w:val="006E1560"/>
    <w:rsid w:val="00701830"/>
    <w:rsid w:val="00705BD9"/>
    <w:rsid w:val="007477CD"/>
    <w:rsid w:val="007547F3"/>
    <w:rsid w:val="007D66FC"/>
    <w:rsid w:val="007E7C50"/>
    <w:rsid w:val="00801171"/>
    <w:rsid w:val="00852255"/>
    <w:rsid w:val="00855762"/>
    <w:rsid w:val="008B00E0"/>
    <w:rsid w:val="008B57EB"/>
    <w:rsid w:val="008E7C5E"/>
    <w:rsid w:val="008F14E4"/>
    <w:rsid w:val="00902017"/>
    <w:rsid w:val="00970C80"/>
    <w:rsid w:val="00987242"/>
    <w:rsid w:val="009B68B7"/>
    <w:rsid w:val="009C7101"/>
    <w:rsid w:val="009E5EE2"/>
    <w:rsid w:val="009F633C"/>
    <w:rsid w:val="00A1128D"/>
    <w:rsid w:val="00A265ED"/>
    <w:rsid w:val="00A57D5C"/>
    <w:rsid w:val="00A62012"/>
    <w:rsid w:val="00A824ED"/>
    <w:rsid w:val="00A94F2A"/>
    <w:rsid w:val="00AB54F9"/>
    <w:rsid w:val="00B65982"/>
    <w:rsid w:val="00BF3CD9"/>
    <w:rsid w:val="00C41007"/>
    <w:rsid w:val="00C53670"/>
    <w:rsid w:val="00C93959"/>
    <w:rsid w:val="00CC6ED1"/>
    <w:rsid w:val="00CC79DD"/>
    <w:rsid w:val="00CF28D2"/>
    <w:rsid w:val="00CF4E59"/>
    <w:rsid w:val="00D2523B"/>
    <w:rsid w:val="00D727A8"/>
    <w:rsid w:val="00DC5C90"/>
    <w:rsid w:val="00DD0AFB"/>
    <w:rsid w:val="00E00E75"/>
    <w:rsid w:val="00E75238"/>
    <w:rsid w:val="00E754C2"/>
    <w:rsid w:val="00EC2EAD"/>
    <w:rsid w:val="00EF6662"/>
    <w:rsid w:val="00F73445"/>
    <w:rsid w:val="00F97D64"/>
    <w:rsid w:val="00FD3DDA"/>
    <w:rsid w:val="01C60790"/>
    <w:rsid w:val="051B624A"/>
    <w:rsid w:val="06532730"/>
    <w:rsid w:val="067F29FC"/>
    <w:rsid w:val="06D00421"/>
    <w:rsid w:val="07852DBD"/>
    <w:rsid w:val="07AC0471"/>
    <w:rsid w:val="08121161"/>
    <w:rsid w:val="08DA663E"/>
    <w:rsid w:val="0B2D2C27"/>
    <w:rsid w:val="0B607C96"/>
    <w:rsid w:val="0B8A040B"/>
    <w:rsid w:val="0BFA31FD"/>
    <w:rsid w:val="0D7F02AE"/>
    <w:rsid w:val="0EF06F5D"/>
    <w:rsid w:val="0FEB93FE"/>
    <w:rsid w:val="10334CEB"/>
    <w:rsid w:val="12EA5F3C"/>
    <w:rsid w:val="147362A3"/>
    <w:rsid w:val="157C7D44"/>
    <w:rsid w:val="16C32FBA"/>
    <w:rsid w:val="19A759A9"/>
    <w:rsid w:val="1B9476CB"/>
    <w:rsid w:val="1C566B72"/>
    <w:rsid w:val="1D9CDAB1"/>
    <w:rsid w:val="1E2A7DC2"/>
    <w:rsid w:val="1E462670"/>
    <w:rsid w:val="1E7BA6DB"/>
    <w:rsid w:val="209D7431"/>
    <w:rsid w:val="20BB01D1"/>
    <w:rsid w:val="20BD204C"/>
    <w:rsid w:val="20D12777"/>
    <w:rsid w:val="20EA3504"/>
    <w:rsid w:val="214A68E4"/>
    <w:rsid w:val="226F58FE"/>
    <w:rsid w:val="22E9024C"/>
    <w:rsid w:val="23E34C9B"/>
    <w:rsid w:val="24213A15"/>
    <w:rsid w:val="24677239"/>
    <w:rsid w:val="24D171E9"/>
    <w:rsid w:val="251D363A"/>
    <w:rsid w:val="256E65CD"/>
    <w:rsid w:val="2579669A"/>
    <w:rsid w:val="259326F1"/>
    <w:rsid w:val="25D36F81"/>
    <w:rsid w:val="26FA033F"/>
    <w:rsid w:val="271B1AD1"/>
    <w:rsid w:val="2A454D38"/>
    <w:rsid w:val="2A6D5636"/>
    <w:rsid w:val="2AB20AB3"/>
    <w:rsid w:val="2B3D3597"/>
    <w:rsid w:val="2B885E95"/>
    <w:rsid w:val="2DA33326"/>
    <w:rsid w:val="2DBB50C0"/>
    <w:rsid w:val="2F283F03"/>
    <w:rsid w:val="2F6FE80D"/>
    <w:rsid w:val="2FD55531"/>
    <w:rsid w:val="3009464F"/>
    <w:rsid w:val="31B71FAB"/>
    <w:rsid w:val="321F5548"/>
    <w:rsid w:val="32861C19"/>
    <w:rsid w:val="33152997"/>
    <w:rsid w:val="336B1457"/>
    <w:rsid w:val="344A7B27"/>
    <w:rsid w:val="3494526F"/>
    <w:rsid w:val="35FFBAC7"/>
    <w:rsid w:val="36184342"/>
    <w:rsid w:val="36F347AA"/>
    <w:rsid w:val="3796672C"/>
    <w:rsid w:val="37E21305"/>
    <w:rsid w:val="38363A52"/>
    <w:rsid w:val="384B5912"/>
    <w:rsid w:val="3900273C"/>
    <w:rsid w:val="39355B41"/>
    <w:rsid w:val="39CF5EB3"/>
    <w:rsid w:val="3AC8778F"/>
    <w:rsid w:val="3C7E335B"/>
    <w:rsid w:val="3D121CF5"/>
    <w:rsid w:val="3E8F1850"/>
    <w:rsid w:val="410A78B3"/>
    <w:rsid w:val="424A3F74"/>
    <w:rsid w:val="42892A5A"/>
    <w:rsid w:val="43FC1E54"/>
    <w:rsid w:val="468C5C3B"/>
    <w:rsid w:val="46CF5BA1"/>
    <w:rsid w:val="47E33234"/>
    <w:rsid w:val="499E6BB1"/>
    <w:rsid w:val="49AE3E37"/>
    <w:rsid w:val="4A424F9A"/>
    <w:rsid w:val="4A5101BB"/>
    <w:rsid w:val="4AA0564A"/>
    <w:rsid w:val="4B4F69E6"/>
    <w:rsid w:val="4B6A7D78"/>
    <w:rsid w:val="4BB22927"/>
    <w:rsid w:val="4BF70613"/>
    <w:rsid w:val="4C0F3036"/>
    <w:rsid w:val="4C3A6B73"/>
    <w:rsid w:val="4CB56EFC"/>
    <w:rsid w:val="4D922C49"/>
    <w:rsid w:val="4D9303E8"/>
    <w:rsid w:val="4DAB00A1"/>
    <w:rsid w:val="4E0062C6"/>
    <w:rsid w:val="508C2093"/>
    <w:rsid w:val="524E3CA9"/>
    <w:rsid w:val="537D58A2"/>
    <w:rsid w:val="54C700D5"/>
    <w:rsid w:val="559471D1"/>
    <w:rsid w:val="55EA1FEA"/>
    <w:rsid w:val="55F81F79"/>
    <w:rsid w:val="5614157C"/>
    <w:rsid w:val="565F2DC9"/>
    <w:rsid w:val="580E5A83"/>
    <w:rsid w:val="5882320D"/>
    <w:rsid w:val="58DF4D2A"/>
    <w:rsid w:val="58DF7426"/>
    <w:rsid w:val="59444FAC"/>
    <w:rsid w:val="5A317807"/>
    <w:rsid w:val="5A3A4A42"/>
    <w:rsid w:val="5B075609"/>
    <w:rsid w:val="5B543347"/>
    <w:rsid w:val="5BDA3AC8"/>
    <w:rsid w:val="5BE54F7D"/>
    <w:rsid w:val="5BED5B66"/>
    <w:rsid w:val="5C6C0FCA"/>
    <w:rsid w:val="5C8D4209"/>
    <w:rsid w:val="5DEE859B"/>
    <w:rsid w:val="5E2C27BF"/>
    <w:rsid w:val="5E5FEDC6"/>
    <w:rsid w:val="5F261904"/>
    <w:rsid w:val="5F597892"/>
    <w:rsid w:val="5F922859"/>
    <w:rsid w:val="5FCE6B58"/>
    <w:rsid w:val="616B7AA3"/>
    <w:rsid w:val="62522352"/>
    <w:rsid w:val="6272D0A9"/>
    <w:rsid w:val="62965BBE"/>
    <w:rsid w:val="63D7AA60"/>
    <w:rsid w:val="65CC7C28"/>
    <w:rsid w:val="66BBB7A6"/>
    <w:rsid w:val="66D734E4"/>
    <w:rsid w:val="6A3301FA"/>
    <w:rsid w:val="6A9AAEAC"/>
    <w:rsid w:val="6BFFE00B"/>
    <w:rsid w:val="6CB93DB8"/>
    <w:rsid w:val="6E699866"/>
    <w:rsid w:val="6EEE1E91"/>
    <w:rsid w:val="6EFFDC19"/>
    <w:rsid w:val="6FB242AC"/>
    <w:rsid w:val="6FBB80E0"/>
    <w:rsid w:val="6FFBE7CC"/>
    <w:rsid w:val="6FFF5FA7"/>
    <w:rsid w:val="70721011"/>
    <w:rsid w:val="721241AC"/>
    <w:rsid w:val="735D0C69"/>
    <w:rsid w:val="742020BD"/>
    <w:rsid w:val="74C90CAB"/>
    <w:rsid w:val="74F68E36"/>
    <w:rsid w:val="7531281B"/>
    <w:rsid w:val="755FF8E3"/>
    <w:rsid w:val="776B5217"/>
    <w:rsid w:val="77EB9800"/>
    <w:rsid w:val="77EF454B"/>
    <w:rsid w:val="7A7C4677"/>
    <w:rsid w:val="7AB07863"/>
    <w:rsid w:val="7AFC3C49"/>
    <w:rsid w:val="7B157E64"/>
    <w:rsid w:val="7B2E2E0F"/>
    <w:rsid w:val="7B3ECAA3"/>
    <w:rsid w:val="7B521B19"/>
    <w:rsid w:val="7B763486"/>
    <w:rsid w:val="7C964B41"/>
    <w:rsid w:val="7CCF4424"/>
    <w:rsid w:val="7D6D4907"/>
    <w:rsid w:val="7DA45C3F"/>
    <w:rsid w:val="7DF1174F"/>
    <w:rsid w:val="7DF53A03"/>
    <w:rsid w:val="7E8D76B1"/>
    <w:rsid w:val="7EB65A35"/>
    <w:rsid w:val="7F771C7A"/>
    <w:rsid w:val="7FA30D0D"/>
    <w:rsid w:val="7FE7C889"/>
    <w:rsid w:val="7FEFEB3A"/>
    <w:rsid w:val="7FF58CAE"/>
    <w:rsid w:val="7FFF0C30"/>
    <w:rsid w:val="7FFF51F5"/>
    <w:rsid w:val="7FFFC0F5"/>
    <w:rsid w:val="85F50133"/>
    <w:rsid w:val="9FDF39DD"/>
    <w:rsid w:val="9FF7F0A1"/>
    <w:rsid w:val="A95FC953"/>
    <w:rsid w:val="BCFEC77E"/>
    <w:rsid w:val="BFDAD13D"/>
    <w:rsid w:val="CEA33675"/>
    <w:rsid w:val="D3F6E079"/>
    <w:rsid w:val="D6DE8929"/>
    <w:rsid w:val="DDFF5639"/>
    <w:rsid w:val="DFCFC104"/>
    <w:rsid w:val="DFE6F639"/>
    <w:rsid w:val="E6C67DCA"/>
    <w:rsid w:val="E96E28BF"/>
    <w:rsid w:val="EBFFF200"/>
    <w:rsid w:val="EEDBBE3E"/>
    <w:rsid w:val="EF516D7C"/>
    <w:rsid w:val="EF742F4F"/>
    <w:rsid w:val="F5E02C4C"/>
    <w:rsid w:val="F6FB439B"/>
    <w:rsid w:val="F7C54CCA"/>
    <w:rsid w:val="F7EF38AC"/>
    <w:rsid w:val="FB6E3B10"/>
    <w:rsid w:val="FD7BCD90"/>
    <w:rsid w:val="FDC7BFAF"/>
    <w:rsid w:val="FDDD2037"/>
    <w:rsid w:val="FDFF4A36"/>
    <w:rsid w:val="FDFFD601"/>
    <w:rsid w:val="FE5B8179"/>
    <w:rsid w:val="FEF614ED"/>
    <w:rsid w:val="FF799939"/>
    <w:rsid w:val="FF7E5C8B"/>
    <w:rsid w:val="FFBBD0D0"/>
    <w:rsid w:val="FFD577D6"/>
    <w:rsid w:val="FFFFC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91"/>
    <w:basedOn w:val="7"/>
    <w:qFormat/>
    <w:uiPriority w:val="0"/>
    <w:rPr>
      <w:rFonts w:hint="eastAsia" w:ascii="宋体" w:hAnsi="宋体" w:eastAsia="宋体" w:cs="宋体"/>
      <w:color w:val="000000"/>
      <w:sz w:val="20"/>
      <w:szCs w:val="20"/>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eastAsia" w:ascii="宋体" w:hAnsi="宋体" w:eastAsia="宋体" w:cs="宋体"/>
      <w:color w:val="000000"/>
      <w:sz w:val="20"/>
      <w:szCs w:val="20"/>
      <w:u w:val="none"/>
    </w:rPr>
  </w:style>
  <w:style w:type="character" w:customStyle="1" w:styleId="15">
    <w:name w:val="font101"/>
    <w:basedOn w:val="7"/>
    <w:qFormat/>
    <w:uiPriority w:val="0"/>
    <w:rPr>
      <w:rFonts w:hint="eastAsia" w:ascii="宋体" w:hAnsi="宋体" w:eastAsia="宋体" w:cs="宋体"/>
      <w:color w:val="000000"/>
      <w:sz w:val="20"/>
      <w:szCs w:val="20"/>
      <w:u w:val="none"/>
    </w:rPr>
  </w:style>
  <w:style w:type="character" w:customStyle="1" w:styleId="16">
    <w:name w:val="font41"/>
    <w:basedOn w:val="7"/>
    <w:qFormat/>
    <w:uiPriority w:val="0"/>
    <w:rPr>
      <w:rFonts w:hint="eastAsia" w:ascii="方正书宋_GBK" w:hAnsi="方正书宋_GBK" w:eastAsia="方正书宋_GBK" w:cs="方正书宋_GBK"/>
      <w:color w:val="000000"/>
      <w:sz w:val="20"/>
      <w:szCs w:val="20"/>
      <w:u w:val="none"/>
    </w:rPr>
  </w:style>
  <w:style w:type="paragraph" w:customStyle="1" w:styleId="17">
    <w:name w:val="列出段落1"/>
    <w:basedOn w:val="1"/>
    <w:qFormat/>
    <w:uiPriority w:val="34"/>
    <w:pPr>
      <w:ind w:firstLine="420" w:firstLineChars="200"/>
    </w:pPr>
  </w:style>
  <w:style w:type="character" w:customStyle="1" w:styleId="18">
    <w:name w:val="font31"/>
    <w:basedOn w:val="7"/>
    <w:qFormat/>
    <w:uiPriority w:val="0"/>
    <w:rPr>
      <w:rFonts w:hint="eastAsia" w:ascii="宋体" w:hAnsi="宋体" w:eastAsia="宋体" w:cs="宋体"/>
      <w:color w:val="000000"/>
      <w:sz w:val="22"/>
      <w:szCs w:val="22"/>
      <w:u w:val="none"/>
    </w:rPr>
  </w:style>
  <w:style w:type="character" w:customStyle="1" w:styleId="19">
    <w:name w:val="font2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3927</Words>
  <Characters>4499</Characters>
  <Lines>8</Lines>
  <Paragraphs>2</Paragraphs>
  <TotalTime>2</TotalTime>
  <ScaleCrop>false</ScaleCrop>
  <LinksUpToDate>false</LinksUpToDate>
  <CharactersWithSpaces>4618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2022-06-13T16:00:00Z</dcterms:created>
  <dc:creator>scjgj</dc:creator>
  <cp:lastModifiedBy>Sky</cp:lastModifiedBy>
  <cp:lastPrinted>2023-01-30T03:19:00Z</cp:lastPrinted>
  <dcterms:modified xsi:type="dcterms:W3CDTF">2024-10-17T07:32:24Z</dcterms:modified>
  <dc:title>北京市安全防护类产品质量监督抽查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9808FBDD583F46F7AFF4CCBBDB3FA812_13</vt:lpwstr>
  </property>
</Properties>
</file>