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附件3</w:t>
      </w:r>
    </w:p>
    <w:p>
      <w:pPr>
        <w:adjustRightInd w:val="0"/>
        <w:snapToGrid w:val="0"/>
        <w:spacing w:line="560" w:lineRule="exact"/>
        <w:ind w:firstLine="723" w:firstLineChars="200"/>
        <w:jc w:val="center"/>
        <w:rPr>
          <w:rFonts w:ascii="仿宋_GB2312" w:eastAsia="仿宋_GB2312"/>
          <w:b/>
          <w:sz w:val="36"/>
          <w:szCs w:val="36"/>
        </w:rPr>
      </w:pPr>
      <w:r>
        <w:rPr>
          <w:rFonts w:hint="eastAsia" w:ascii="仿宋_GB2312" w:eastAsia="仿宋_GB2312"/>
          <w:b/>
          <w:sz w:val="36"/>
          <w:szCs w:val="36"/>
        </w:rPr>
        <w:t>不合格项目说明</w:t>
      </w:r>
    </w:p>
    <w:p>
      <w:pPr>
        <w:autoSpaceDE w:val="0"/>
        <w:autoSpaceDN w:val="0"/>
        <w:adjustRightInd w:val="0"/>
        <w:spacing w:line="480" w:lineRule="exact"/>
        <w:ind w:firstLine="602" w:firstLineChars="200"/>
        <w:rPr>
          <w:rFonts w:ascii="仿宋_GB2312" w:eastAsia="仿宋_GB2312"/>
          <w:b/>
          <w:sz w:val="30"/>
          <w:szCs w:val="30"/>
        </w:rPr>
      </w:pPr>
      <w:r>
        <w:rPr>
          <w:rFonts w:hint="eastAsia" w:ascii="仿宋_GB2312" w:eastAsia="仿宋_GB2312"/>
          <w:b/>
          <w:sz w:val="30"/>
          <w:szCs w:val="30"/>
        </w:rPr>
        <w:t>一、包装标志</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包装标志作为通过文字、图形、符号等说明产品质量、使用方法及其他内容的一种信息载体，不仅是生产经营者对产品质量做出的一种承诺，也是对产品性能、用途、注意事项的说明。完整的标识标签不仅可以传递质量安全信息、确保可追溯性、保护知情消费权、指导用户正确使用，同时还可以降低交易成本、规避风险等。在北京市生产和销售的防水涂料产品应严格执行北京市地方标准DB11/ 3005-2017（2022年10月1日前）和DB11/ 1983-2022（2022年10月1日后）中对于包装标志的规定。否则无法判断产品的使用场景进行正确使用，也无法判断产品的VOC含量，易造成不合理使用。</w:t>
      </w:r>
    </w:p>
    <w:p>
      <w:pPr>
        <w:numPr>
          <w:ilvl w:val="0"/>
          <w:numId w:val="1"/>
        </w:numPr>
        <w:autoSpaceDE w:val="0"/>
        <w:autoSpaceDN w:val="0"/>
        <w:adjustRightInd w:val="0"/>
        <w:spacing w:line="480" w:lineRule="exact"/>
        <w:ind w:firstLine="602" w:firstLineChars="200"/>
        <w:rPr>
          <w:rFonts w:ascii="仿宋_GB2312" w:eastAsia="仿宋_GB2312"/>
          <w:b/>
          <w:sz w:val="30"/>
          <w:szCs w:val="30"/>
        </w:rPr>
      </w:pPr>
      <w:r>
        <w:rPr>
          <w:rFonts w:hint="eastAsia" w:ascii="仿宋_GB2312" w:eastAsia="仿宋_GB2312"/>
          <w:b/>
          <w:sz w:val="30"/>
          <w:szCs w:val="30"/>
        </w:rPr>
        <w:t>耐洗刷性</w:t>
      </w:r>
    </w:p>
    <w:p>
      <w:pPr>
        <w:spacing w:line="480" w:lineRule="exact"/>
        <w:ind w:firstLine="600" w:firstLineChars="200"/>
        <w:rPr>
          <w:rFonts w:eastAsia="仿宋_GB2312"/>
          <w:sz w:val="30"/>
          <w:szCs w:val="30"/>
        </w:rPr>
      </w:pPr>
      <w:r>
        <w:rPr>
          <w:rFonts w:hint="eastAsia" w:eastAsia="仿宋_GB2312"/>
          <w:sz w:val="30"/>
          <w:szCs w:val="30"/>
        </w:rPr>
        <w:t>耐洗刷性不合格可能由于企业为降低成本，乳液添加量较低导致。耐洗刷性不合格会导致涂料出现粉化现象，或者日常擦洗维护中涂层容易擦破漏底，从而使得寿命变短。</w:t>
      </w:r>
    </w:p>
    <w:p>
      <w:pPr>
        <w:autoSpaceDE w:val="0"/>
        <w:autoSpaceDN w:val="0"/>
        <w:adjustRightInd w:val="0"/>
        <w:spacing w:line="480" w:lineRule="exact"/>
        <w:ind w:firstLine="602" w:firstLineChars="200"/>
        <w:rPr>
          <w:rFonts w:ascii="仿宋_GB2312" w:eastAsia="仿宋_GB2312"/>
          <w:b/>
          <w:sz w:val="30"/>
          <w:szCs w:val="30"/>
        </w:rPr>
      </w:pPr>
      <w:r>
        <w:rPr>
          <w:rFonts w:hint="eastAsia" w:ascii="仿宋_GB2312" w:eastAsia="仿宋_GB2312"/>
          <w:b/>
          <w:sz w:val="30"/>
          <w:szCs w:val="30"/>
        </w:rPr>
        <w:t>三、乙二醇醚及醚酯总和总和含量</w:t>
      </w:r>
    </w:p>
    <w:p>
      <w:pPr>
        <w:tabs>
          <w:tab w:val="left" w:pos="900"/>
        </w:tabs>
        <w:ind w:firstLine="600" w:firstLineChars="200"/>
        <w:rPr>
          <w:rFonts w:eastAsia="仿宋_GB2312"/>
          <w:sz w:val="30"/>
          <w:szCs w:val="30"/>
        </w:rPr>
      </w:pPr>
      <w:r>
        <w:rPr>
          <w:rFonts w:hint="eastAsia" w:eastAsia="仿宋_GB2312"/>
          <w:sz w:val="30"/>
          <w:szCs w:val="30"/>
        </w:rPr>
        <w:t>乙二醇醚及醚酯总和总和含量不合格的原因是配方设计中添加了乙二醇醚及醚酯总和作为溶剂，乙二醇醚及醚酯总和总和含量是安全指标，超标会影响施工人员及使用人员的身体健康。</w:t>
      </w:r>
    </w:p>
    <w:p>
      <w:pPr>
        <w:autoSpaceDE w:val="0"/>
        <w:autoSpaceDN w:val="0"/>
        <w:adjustRightInd w:val="0"/>
        <w:spacing w:line="480" w:lineRule="exact"/>
        <w:ind w:firstLine="602" w:firstLineChars="200"/>
        <w:rPr>
          <w:rFonts w:ascii="仿宋_GB2312" w:eastAsia="仿宋_GB2312"/>
          <w:b/>
          <w:sz w:val="30"/>
          <w:szCs w:val="30"/>
        </w:rPr>
      </w:pPr>
      <w:r>
        <w:rPr>
          <w:rFonts w:hint="eastAsia" w:ascii="仿宋_GB2312" w:eastAsia="仿宋_GB2312"/>
          <w:b/>
          <w:sz w:val="30"/>
          <w:szCs w:val="30"/>
        </w:rPr>
        <w:t>四、总挥发性有机化合物（TVOC）释放量、挥发性有机化合物含量（VOC）、挥发性有机化合物（VOC）含量、VOCs含量</w:t>
      </w:r>
    </w:p>
    <w:p>
      <w:pPr>
        <w:tabs>
          <w:tab w:val="left" w:pos="900"/>
        </w:tabs>
        <w:ind w:firstLine="560" w:firstLineChars="200"/>
        <w:rPr>
          <w:rFonts w:eastAsia="仿宋_GB2312"/>
          <w:sz w:val="28"/>
          <w:szCs w:val="24"/>
        </w:rPr>
      </w:pPr>
      <w:r>
        <w:rPr>
          <w:rFonts w:hint="eastAsia" w:eastAsia="仿宋_GB2312"/>
          <w:sz w:val="28"/>
          <w:szCs w:val="24"/>
        </w:rPr>
        <w:t>此类不合格大多是因为使用不合格原材料所导致。T</w:t>
      </w:r>
      <w:r>
        <w:rPr>
          <w:rFonts w:eastAsia="仿宋_GB2312"/>
          <w:sz w:val="28"/>
          <w:szCs w:val="24"/>
        </w:rPr>
        <w:t>VOC</w:t>
      </w:r>
      <w:r>
        <w:rPr>
          <w:rFonts w:hint="eastAsia" w:eastAsia="仿宋_GB2312"/>
          <w:sz w:val="28"/>
          <w:szCs w:val="24"/>
        </w:rPr>
        <w:t>、VOC含量超过标准限值会对造成空气污染，居室内T</w:t>
      </w:r>
      <w:r>
        <w:rPr>
          <w:rFonts w:eastAsia="仿宋_GB2312"/>
          <w:sz w:val="28"/>
          <w:szCs w:val="24"/>
        </w:rPr>
        <w:t>VOC</w:t>
      </w:r>
      <w:r>
        <w:rPr>
          <w:rFonts w:hint="eastAsia" w:eastAsia="仿宋_GB2312"/>
          <w:sz w:val="28"/>
          <w:szCs w:val="24"/>
        </w:rPr>
        <w:t>、VOC的含量高会对人们的视觉和听觉等感官神经造成损害，长期处于这类环境中甚至会引起神经质或忧郁症。T</w:t>
      </w:r>
      <w:r>
        <w:rPr>
          <w:rFonts w:eastAsia="仿宋_GB2312"/>
          <w:sz w:val="28"/>
          <w:szCs w:val="24"/>
        </w:rPr>
        <w:t>VOC</w:t>
      </w:r>
      <w:r>
        <w:rPr>
          <w:rFonts w:hint="eastAsia" w:eastAsia="仿宋_GB2312"/>
          <w:sz w:val="28"/>
          <w:szCs w:val="24"/>
        </w:rPr>
        <w:t>、VOC还会对大气环境造成更为严重的间接危害。</w:t>
      </w:r>
    </w:p>
    <w:p>
      <w:pPr>
        <w:spacing w:line="480" w:lineRule="exact"/>
        <w:ind w:firstLine="600" w:firstLineChars="200"/>
        <w:rPr>
          <w:rFonts w:eastAsia="仿宋_GB2312"/>
          <w:sz w:val="30"/>
          <w:szCs w:val="30"/>
        </w:rPr>
      </w:pPr>
    </w:p>
    <w:p>
      <w:bookmarkStart w:id="0" w:name="_GoBack"/>
      <w:bookmarkEnd w:id="0"/>
    </w:p>
    <w:sectPr>
      <w:pgSz w:w="11906" w:h="16838"/>
      <w:pgMar w:top="1984" w:right="1587" w:bottom="2098" w:left="1474"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549AB"/>
    <w:multiLevelType w:val="singleLevel"/>
    <w:tmpl w:val="63A549A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06931E76"/>
    <w:rsid w:val="06931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2023-12-18T08:48:00Z</dcterms:created>
  <dc:creator>心心乖宝时间～</dc:creator>
  <cp:lastModifiedBy>心心乖宝时间～</cp:lastModifiedBy>
  <dcterms:modified xsi:type="dcterms:W3CDTF">2023-12-18T08:49:33Z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05A8F935A1024749948B3C174A71B2D0_11</vt:lpwstr>
  </property>
</Properties>
</file>