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</w:rPr>
        <w:t>GB 28007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儿童家具通用技术条件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>；</w:t>
      </w:r>
    </w:p>
    <w:p>
      <w:pPr>
        <w:spacing w:beforeLines="0" w:afterLines="0" w:line="480" w:lineRule="exact"/>
        <w:ind w:firstLine="600" w:firstLineChars="200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</w:rPr>
        <w:t>QB/T 2453.1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家用的童床和折叠小床 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部分：安全要求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 xml:space="preserve">； </w:t>
      </w:r>
    </w:p>
    <w:p>
      <w:pPr>
        <w:spacing w:beforeLines="0" w:afterLines="0" w:line="480" w:lineRule="exact"/>
        <w:ind w:firstLine="600" w:firstLineChars="200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>GB 18584《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室内装饰装修材料 木家具中有害物质限量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>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>GB 22793.1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家具 儿童高椅 第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部分：安全要求</w:t>
      </w:r>
      <w:r>
        <w:rPr>
          <w:rFonts w:hint="eastAsia" w:eastAsia="仿宋_GB2312" w:cs="Times New Roman"/>
          <w:b w:val="0"/>
          <w:bCs w:val="0"/>
          <w:sz w:val="30"/>
          <w:szCs w:val="30"/>
          <w:highlight w:val="none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highlight w:val="none"/>
          <w:lang w:eastAsia="zh-CN"/>
        </w:rPr>
        <w:t>；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  <w:t>2.检验项目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eastAsia="zh-CN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安全性指标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i w:val="0"/>
          <w:iCs w:val="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 xml:space="preserve">2.1.1 </w:t>
      </w:r>
      <w:r>
        <w:rPr>
          <w:rFonts w:hint="eastAsia" w:eastAsia="仿宋_GB2312"/>
          <w:b/>
          <w:sz w:val="30"/>
          <w:szCs w:val="30"/>
          <w:highlight w:val="none"/>
        </w:rPr>
        <w:t>儿童家具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边缘及尖端；突出物；孔及间隙；折叠机构；翻门、翻板；封闭式家具；其他；产品甲醛释放量；警示标识共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 xml:space="preserve">2.1.2 </w:t>
      </w:r>
      <w:r>
        <w:rPr>
          <w:rFonts w:hint="eastAsia" w:eastAsia="仿宋_GB2312"/>
          <w:b/>
          <w:sz w:val="30"/>
          <w:szCs w:val="30"/>
          <w:highlight w:val="none"/>
        </w:rPr>
        <w:t>婴儿床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甲醛释放量共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>2.1.3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儿童高椅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结构、标志、使用说明共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 xml:space="preserve">2.2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性能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 xml:space="preserve">2.2.1 </w:t>
      </w:r>
      <w:r>
        <w:rPr>
          <w:rFonts w:hint="eastAsia" w:eastAsia="仿宋_GB2312"/>
          <w:b/>
          <w:sz w:val="30"/>
          <w:szCs w:val="30"/>
          <w:highlight w:val="none"/>
        </w:rPr>
        <w:t>儿童家具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力学性能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sectPr>
          <w:pgSz w:w="11906" w:h="16838"/>
          <w:pgMar w:top="1701" w:right="1474" w:bottom="1701" w:left="1587" w:header="851" w:footer="992" w:gutter="0"/>
          <w:cols w:space="720" w:num="1"/>
          <w:rtlGutter w:val="0"/>
          <w:docGrid w:type="lines" w:linePitch="326" w:charSpace="0"/>
        </w:sect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highlight w:val="none"/>
          <w:lang w:val="en-US" w:eastAsia="zh-CN"/>
        </w:rPr>
        <w:t xml:space="preserve">2.2.2 </w:t>
      </w:r>
      <w:r>
        <w:rPr>
          <w:rFonts w:hint="eastAsia" w:eastAsia="仿宋_GB2312"/>
          <w:b/>
          <w:sz w:val="30"/>
          <w:szCs w:val="30"/>
          <w:highlight w:val="none"/>
        </w:rPr>
        <w:t>婴儿床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结构、床铺面、旁板和床头、框架、稳定性、使用说明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6</w:t>
      </w:r>
      <w:r>
        <w:rPr>
          <w:rFonts w:hint="eastAsia" w:eastAsia="仿宋_GB2312"/>
          <w:b w:val="0"/>
          <w:bCs/>
          <w:sz w:val="30"/>
          <w:szCs w:val="30"/>
          <w:highlight w:val="none"/>
        </w:rPr>
        <w:t>个项目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3DE333C"/>
    <w:rsid w:val="63D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2023-12-15T06:14:00Z</dcterms:created>
  <dc:creator>心心乖宝时间～</dc:creator>
  <cp:lastModifiedBy>心心乖宝时间～</cp:lastModifiedBy>
  <dcterms:modified xsi:type="dcterms:W3CDTF">2023-12-15T06:14:59Z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AB01B0941FDA4994A224D8462C6B626D_11</vt:lpwstr>
  </property>
</Properties>
</file>