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eastAsia="黑体"/>
          <w:sz w:val="32"/>
          <w:szCs w:val="32"/>
        </w:rPr>
      </w:pPr>
      <w:r>
        <w:rPr>
          <w:rFonts w:eastAsia="黑体"/>
          <w:sz w:val="32"/>
          <w:szCs w:val="32"/>
        </w:rPr>
        <w:t>附件</w:t>
      </w:r>
      <w:r>
        <w:rPr>
          <w:rFonts w:hint="eastAsia" w:eastAsia="黑体"/>
          <w:sz w:val="32"/>
          <w:szCs w:val="32"/>
        </w:rPr>
        <w:t xml:space="preserve">3                 </w:t>
      </w:r>
    </w:p>
    <w:p>
      <w:pPr>
        <w:adjustRightInd w:val="0"/>
        <w:snapToGrid w:val="0"/>
        <w:spacing w:line="578" w:lineRule="exact"/>
        <w:ind w:firstLine="720" w:firstLineChars="200"/>
        <w:jc w:val="center"/>
        <w:rPr>
          <w:rFonts w:eastAsia="方正小标宋简体"/>
          <w:sz w:val="36"/>
          <w:szCs w:val="36"/>
        </w:rPr>
      </w:pPr>
      <w:r>
        <w:rPr>
          <w:rFonts w:eastAsia="方正小标宋简体"/>
          <w:sz w:val="36"/>
          <w:szCs w:val="36"/>
        </w:rPr>
        <w:t>不合格项目说明</w:t>
      </w:r>
    </w:p>
    <w:p>
      <w:pPr>
        <w:autoSpaceDE w:val="0"/>
        <w:autoSpaceDN w:val="0"/>
        <w:adjustRightInd w:val="0"/>
        <w:spacing w:line="578" w:lineRule="exact"/>
        <w:ind w:firstLine="600" w:firstLineChars="200"/>
        <w:rPr>
          <w:rFonts w:ascii="黑体" w:hAnsi="黑体" w:eastAsia="黑体"/>
          <w:sz w:val="30"/>
          <w:szCs w:val="30"/>
        </w:rPr>
      </w:pPr>
      <w:r>
        <w:rPr>
          <w:rFonts w:hint="eastAsia" w:ascii="黑体" w:hAnsi="黑体" w:eastAsia="黑体"/>
          <w:sz w:val="30"/>
          <w:szCs w:val="30"/>
        </w:rPr>
        <w:t>一、电源额定值</w:t>
      </w:r>
      <w:bookmarkStart w:id="0" w:name="_GoBack"/>
      <w:bookmarkEnd w:id="0"/>
    </w:p>
    <w:p>
      <w:pPr>
        <w:autoSpaceDE w:val="0"/>
        <w:autoSpaceDN w:val="0"/>
        <w:adjustRightInd w:val="0"/>
        <w:spacing w:line="578" w:lineRule="exact"/>
        <w:ind w:firstLine="600" w:firstLineChars="200"/>
        <w:rPr>
          <w:rFonts w:ascii="仿宋" w:hAnsi="仿宋" w:eastAsia="仿宋"/>
          <w:sz w:val="30"/>
          <w:szCs w:val="30"/>
        </w:rPr>
      </w:pPr>
      <w:r>
        <w:rPr>
          <w:rFonts w:hint="eastAsia" w:ascii="仿宋" w:hAnsi="仿宋" w:eastAsia="仿宋"/>
          <w:sz w:val="30"/>
          <w:szCs w:val="30"/>
        </w:rPr>
        <w:t>电源额定值项目反映了产品的基本信息和使用条件。GB 4943.1-2011 《信息技术设备 安全 第1部分：通用要求》标准规定，产品上应按照国家标准标注额定电压或额定电压范围、额定频率或额定频率范围、额定电流、制造厂商名称或商标或识别标记、制造厂商规定的机型代号标识或型号标志、</w:t>
      </w:r>
      <w:r>
        <w:rPr>
          <w:rFonts w:hint="eastAsia" w:ascii="仿宋_GB2312" w:hAnsi="仿宋_GB2312" w:eastAsia="仿宋_GB2312" w:cs="仿宋_GB2312"/>
          <w:b w:val="0"/>
          <w:bCs/>
          <w:sz w:val="30"/>
          <w:szCs w:val="30"/>
        </w:rPr>
        <w:t>Ⅱ</w:t>
      </w:r>
      <w:r>
        <w:rPr>
          <w:rFonts w:hint="eastAsia" w:ascii="仿宋" w:hAnsi="仿宋" w:eastAsia="仿宋"/>
          <w:sz w:val="30"/>
          <w:szCs w:val="30"/>
        </w:rPr>
        <w:t>类设备符号。检验发现部分产品信息标注不完整，一旦包装和说明书丢弃，将给消费者带来使用中的困惑。</w:t>
      </w:r>
    </w:p>
    <w:p>
      <w:pPr>
        <w:autoSpaceDE w:val="0"/>
        <w:autoSpaceDN w:val="0"/>
        <w:adjustRightInd w:val="0"/>
        <w:spacing w:line="578" w:lineRule="exact"/>
        <w:ind w:firstLine="600" w:firstLineChars="200"/>
        <w:rPr>
          <w:rFonts w:ascii="黑体" w:hAnsi="黑体" w:eastAsia="黑体"/>
          <w:sz w:val="30"/>
          <w:szCs w:val="30"/>
        </w:rPr>
      </w:pPr>
      <w:r>
        <w:rPr>
          <w:rFonts w:hint="eastAsia" w:ascii="黑体" w:hAnsi="黑体" w:eastAsia="黑体"/>
          <w:sz w:val="30"/>
          <w:szCs w:val="30"/>
        </w:rPr>
        <w:t>二、直插式设备</w:t>
      </w:r>
    </w:p>
    <w:p>
      <w:pPr>
        <w:autoSpaceDE w:val="0"/>
        <w:autoSpaceDN w:val="0"/>
        <w:adjustRightInd w:val="0"/>
        <w:spacing w:line="578" w:lineRule="exact"/>
        <w:ind w:firstLine="600" w:firstLineChars="200"/>
        <w:rPr>
          <w:rFonts w:ascii="仿宋" w:hAnsi="仿宋" w:eastAsia="仿宋"/>
          <w:sz w:val="30"/>
          <w:szCs w:val="30"/>
        </w:rPr>
      </w:pPr>
      <w:r>
        <w:rPr>
          <w:rFonts w:hint="eastAsia" w:ascii="仿宋" w:hAnsi="仿宋" w:eastAsia="仿宋"/>
          <w:sz w:val="30"/>
          <w:szCs w:val="30"/>
        </w:rPr>
        <w:t>直插式设备</w:t>
      </w:r>
      <w:r>
        <w:rPr>
          <w:rFonts w:ascii="仿宋" w:hAnsi="仿宋" w:eastAsia="仿宋"/>
          <w:sz w:val="30"/>
          <w:szCs w:val="30"/>
        </w:rPr>
        <w:t>项目</w:t>
      </w:r>
      <w:r>
        <w:rPr>
          <w:rFonts w:hint="eastAsia" w:ascii="仿宋" w:hAnsi="仿宋" w:eastAsia="仿宋"/>
          <w:sz w:val="30"/>
          <w:szCs w:val="30"/>
        </w:rPr>
        <w:t>反映了产品插头的型式及尺寸。GB 4943.1-2011 《信息技术设备 安全 第1部分：通用要求》标准规定</w:t>
      </w:r>
      <w:r>
        <w:rPr>
          <w:rFonts w:hint="eastAsia" w:ascii="仿宋" w:hAnsi="仿宋" w:eastAsia="仿宋"/>
          <w:spacing w:val="-8"/>
          <w:sz w:val="30"/>
          <w:szCs w:val="30"/>
        </w:rPr>
        <w:t>电源插头部分应符合GB/T 1002-2021《家用和类似用途单相插头插座 型式、基本参数和尺寸》的标准要求。</w:t>
      </w:r>
      <w:r>
        <w:rPr>
          <w:rFonts w:hint="eastAsia" w:ascii="仿宋" w:hAnsi="仿宋" w:eastAsia="仿宋"/>
          <w:sz w:val="30"/>
          <w:szCs w:val="30"/>
        </w:rPr>
        <w:t>检验发现个别产品插头插销带孔和插销高度超出标准规定。厂家在选购插头时未按国家标准选购，插销带孔和插销尺寸不符合标准要求存在安全隐患，有触电的危险。</w:t>
      </w:r>
    </w:p>
    <w:p>
      <w:pPr>
        <w:autoSpaceDE w:val="0"/>
        <w:autoSpaceDN w:val="0"/>
        <w:adjustRightInd w:val="0"/>
        <w:spacing w:line="578" w:lineRule="exact"/>
        <w:ind w:firstLine="600" w:firstLineChars="200"/>
        <w:rPr>
          <w:rFonts w:ascii="黑体" w:hAnsi="黑体" w:eastAsia="黑体"/>
          <w:sz w:val="30"/>
          <w:szCs w:val="30"/>
        </w:rPr>
      </w:pPr>
      <w:r>
        <w:rPr>
          <w:rFonts w:hint="eastAsia" w:ascii="黑体" w:hAnsi="黑体" w:eastAsia="黑体"/>
          <w:sz w:val="30"/>
          <w:szCs w:val="30"/>
        </w:rPr>
        <w:t>三、发热要求</w:t>
      </w:r>
    </w:p>
    <w:p>
      <w:pPr>
        <w:autoSpaceDE w:val="0"/>
        <w:autoSpaceDN w:val="0"/>
        <w:adjustRightInd w:val="0"/>
        <w:spacing w:line="578" w:lineRule="exact"/>
        <w:ind w:firstLine="600" w:firstLineChars="200"/>
        <w:rPr>
          <w:rFonts w:ascii="仿宋" w:hAnsi="仿宋" w:eastAsia="仿宋"/>
          <w:sz w:val="30"/>
          <w:szCs w:val="30"/>
        </w:rPr>
      </w:pPr>
      <w:r>
        <w:rPr>
          <w:rFonts w:hint="eastAsia" w:ascii="仿宋" w:hAnsi="仿宋" w:eastAsia="仿宋"/>
          <w:sz w:val="30"/>
          <w:szCs w:val="30"/>
        </w:rPr>
        <w:t>发热要求</w:t>
      </w:r>
      <w:r>
        <w:rPr>
          <w:rFonts w:ascii="仿宋" w:hAnsi="仿宋" w:eastAsia="仿宋"/>
          <w:sz w:val="30"/>
          <w:szCs w:val="30"/>
        </w:rPr>
        <w:t>项目</w:t>
      </w:r>
      <w:r>
        <w:rPr>
          <w:rFonts w:hint="eastAsia" w:ascii="仿宋" w:hAnsi="仿宋" w:eastAsia="仿宋"/>
          <w:sz w:val="30"/>
          <w:szCs w:val="30"/>
        </w:rPr>
        <w:t>反映了产品使用中的发热程度和绝缘材料的耐热能力。GB 4943.1-2011《信息技术设备 安全 第1部分：通用要求》标准规定正常使用时设备及其零部件不应产生过高的温度，直接安装上带危险电压零部件的热塑性塑料件应能耐异常热。检验发现部分产品绝缘材料的耐异常热性能差，在异常热情况下，绝缘材料耐热性能达不到要求发生变形时导电部件容易裸露在外，将会带来触电危险。</w:t>
      </w:r>
    </w:p>
    <w:p>
      <w:pPr>
        <w:autoSpaceDE w:val="0"/>
        <w:autoSpaceDN w:val="0"/>
        <w:adjustRightInd w:val="0"/>
        <w:spacing w:line="578" w:lineRule="exact"/>
        <w:ind w:firstLine="600" w:firstLineChars="200"/>
        <w:rPr>
          <w:rFonts w:ascii="黑体" w:hAnsi="黑体" w:eastAsia="黑体"/>
          <w:sz w:val="30"/>
          <w:szCs w:val="30"/>
        </w:rPr>
      </w:pPr>
      <w:r>
        <w:rPr>
          <w:rFonts w:hint="eastAsia" w:ascii="黑体" w:hAnsi="黑体" w:eastAsia="黑体"/>
          <w:sz w:val="30"/>
          <w:szCs w:val="30"/>
        </w:rPr>
        <w:t>四、电源端子骚扰电压（</w:t>
      </w:r>
      <w:r>
        <w:rPr>
          <w:rFonts w:ascii="黑体" w:hAnsi="黑体" w:eastAsia="黑体"/>
          <w:sz w:val="30"/>
          <w:szCs w:val="30"/>
        </w:rPr>
        <w:t>交流电源端口的传导发射</w:t>
      </w:r>
      <w:r>
        <w:rPr>
          <w:rFonts w:hint="eastAsia" w:ascii="黑体" w:hAnsi="黑体" w:eastAsia="黑体"/>
          <w:sz w:val="30"/>
          <w:szCs w:val="30"/>
        </w:rPr>
        <w:t>）</w:t>
      </w:r>
    </w:p>
    <w:p>
      <w:pPr>
        <w:autoSpaceDE w:val="0"/>
        <w:autoSpaceDN w:val="0"/>
        <w:adjustRightInd w:val="0"/>
        <w:spacing w:line="578" w:lineRule="exact"/>
        <w:ind w:firstLine="600" w:firstLineChars="200"/>
        <w:rPr>
          <w:rFonts w:ascii="仿宋" w:hAnsi="仿宋" w:eastAsia="仿宋"/>
          <w:sz w:val="30"/>
          <w:szCs w:val="30"/>
        </w:rPr>
      </w:pPr>
      <w:r>
        <w:rPr>
          <w:rFonts w:hint="eastAsia" w:ascii="仿宋" w:hAnsi="仿宋" w:eastAsia="仿宋"/>
          <w:sz w:val="30"/>
          <w:szCs w:val="30"/>
        </w:rPr>
        <w:t>电源端子骚扰电压（交流电源端口的传导发射）项目反映了产品在正常运行过程中对连接到的电网环境产生的电磁骚扰。GB/T 9254-2008 《信息技术设备的无线电骚扰限值和测量方法》和GB/T9254.1-2021 《信息技术设备、多媒体设备和接收机 电磁兼容 第1部分：发射要求》标准规定，在频率范围内交流电源端口受试线缆的发射幅值不能超过标准限值，检验发现部分产品实际测试频率范围内多个频点的准峰值和平均值超过限值要求，可能会影响公共电源的供电质量，也会影响到与其在同一电网内的其他设备的正常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YzEwY2RlMzA4YTZmYjhhYTIyYTZhNDMzYjZhMDMifQ=="/>
  </w:docVars>
  <w:rsids>
    <w:rsidRoot w:val="17653084"/>
    <w:rsid w:val="17653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2023-12-11T03:08:00Z</dcterms:created>
  <dc:creator>心心乖宝时间～</dc:creator>
  <cp:lastModifiedBy>心心乖宝时间～</cp:lastModifiedBy>
  <dcterms:modified xsi:type="dcterms:W3CDTF">2023-12-11T03:09:27Z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0C539F715FB9484B8F6C3C5F5D85C4AF_11</vt:lpwstr>
  </property>
</Properties>
</file>