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  <w:r>
        <w:rPr>
          <w:rFonts w:ascii="黑体" w:hAnsi="黑体" w:eastAsia="黑体"/>
          <w:kern w:val="0"/>
          <w:sz w:val="32"/>
          <w:szCs w:val="32"/>
        </w:rPr>
        <w:t xml:space="preserve">                              </w:t>
      </w:r>
      <w:bookmarkStart w:id="0" w:name="_GoBack"/>
      <w:r>
        <w:rPr>
          <w:rFonts w:ascii="黑体" w:hAnsi="黑体" w:eastAsia="黑体"/>
          <w:sz w:val="32"/>
          <w:szCs w:val="32"/>
        </w:rPr>
        <w:t>不合格产品</w:t>
      </w:r>
      <w:r>
        <w:rPr>
          <w:rFonts w:hint="eastAsia" w:ascii="黑体" w:hAnsi="黑体" w:eastAsia="黑体"/>
          <w:sz w:val="32"/>
          <w:szCs w:val="32"/>
        </w:rPr>
        <w:t>信息</w:t>
      </w:r>
      <w:bookmarkEnd w:id="0"/>
    </w:p>
    <w:tbl>
      <w:tblPr>
        <w:tblStyle w:val="2"/>
        <w:tblW w:w="129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58"/>
        <w:gridCol w:w="1503"/>
        <w:gridCol w:w="957"/>
        <w:gridCol w:w="1591"/>
        <w:gridCol w:w="1829"/>
        <w:gridCol w:w="1016"/>
        <w:gridCol w:w="2666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Style w:val="4"/>
                <w:rFonts w:hint="default" w:ascii="黑体" w:hAnsi="黑体" w:eastAsia="黑体"/>
                <w:bCs/>
                <w:sz w:val="20"/>
              </w:rPr>
              <w:t>生产日期</w:t>
            </w:r>
            <w:r>
              <w:rPr>
                <w:rStyle w:val="5"/>
                <w:rFonts w:ascii="黑体" w:hAnsi="黑体" w:eastAsia="黑体"/>
                <w:bCs/>
                <w:sz w:val="20"/>
              </w:rPr>
              <w:t>/</w:t>
            </w:r>
            <w:r>
              <w:rPr>
                <w:rStyle w:val="4"/>
                <w:rFonts w:hint="default" w:ascii="黑体" w:hAnsi="黑体" w:eastAsia="黑体"/>
                <w:bCs/>
                <w:sz w:val="20"/>
              </w:rPr>
              <w:t>批号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北京小仓生活国际贸易有限公司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深圳市芷琪电子科技有限公司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电源适配器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聆创者（图形）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ZQ-K8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220VAC 50/60Hz 0.25A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交流电源端口的传导发射、1GHz以下辐射发射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北京时装衣橱服装店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东莞市卡兰尼科技有限公司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全兼容闪充充电器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QOOVI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KS-05B 220-240V～50/60Hz 0.5A Max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交流电源端口的传导发射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北京龙承伟业商贸有限公司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千宏电子科技（深圳）有限公司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全兼容超级快充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qianho千宏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3A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AC220V/50Hz 0.45A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电源额定值、直插式设备、发热要求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按照产品标称的生产企业名称地址邮寄抽查结果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因生产企业拒绝签收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原因未送达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北京龙承伟业商贸有限公司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深圳市传宇科技发展有限公司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旅行充电器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TRANYOO（图形）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T-P20 200-240V～50-60Hz 0.6A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发热要求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北京锁柱鸿达通讯器材商店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上栗县辉亮电子厂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3C旅行充电器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KELING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K47 AC100-240V～50/60Hz0.3A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发热要求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北京触控永兴科技有限公司朝阳分公司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深圳市华智辉通讯技术有限公司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防爆充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Lovesn（图形）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C302 AC 200V～240V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0.5A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20221120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电源额定值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北京心海易美商贸中心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深圳市百迪星科技有限公司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旅行充电器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BDX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A35 180-240V～50/60Hz 0.3A（Max）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电源端子骚扰电压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北京宏博瑞森科贸有限公司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东莞市奈斯电子科技有限公司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旅行充电器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LEEMOA慕里（图形）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A3 200-240V～50-60Hz 0.6A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发热要求、交流电源端口的传导发射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北京鑫华博大商贸有限公司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东莞市博锐仕电子有限公司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电源适配器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聆创者（图形）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K48 180-240V 50Hz 0.6A Max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交流电源端口的传导发射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北京腾鑫科技有限公司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东莞市龙奇电子科技有限公司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电源适配器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（图形）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LT-C08 220V～50Hz 0.3A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发热要求、交流电源端口的传导发射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北京河滩兆丰通讯设备商店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深圳市极星狐科技有限公司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平果PD快充充电器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CENTIFLY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CPD102 AC100-240V～50Hz/0.6A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发热要求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北京鑫利畅联通讯器材经营部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东莞市禾宣电子科技有限公司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旅行充电器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PINMEI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HY008-DXY-2A 180V-240V～50/60Hz 0.5（Max）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未标注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电源额定值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</w:tbl>
    <w:p/>
    <w:p>
      <w:pPr>
        <w:rPr>
          <w:rFonts w:eastAsia="黑体"/>
          <w:sz w:val="32"/>
          <w:szCs w:val="32"/>
        </w:rPr>
        <w:sectPr>
          <w:pgSz w:w="16838" w:h="11906" w:orient="landscape"/>
          <w:pgMar w:top="1474" w:right="1417" w:bottom="1474" w:left="1417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zEwY2RlMzA4YTZmYjhhYTIyYTZhNDMzYjZhMDMifQ=="/>
  </w:docVars>
  <w:rsids>
    <w:rsidRoot w:val="790D5EAA"/>
    <w:rsid w:val="790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2023-12-11T03:08:00Z</dcterms:created>
  <dc:creator>心心乖宝时间～</dc:creator>
  <cp:lastModifiedBy>心心乖宝时间～</cp:lastModifiedBy>
  <dcterms:modified xsi:type="dcterms:W3CDTF">2023-12-11T03:08:39Z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65F8D1767FFD4F158F783B13AD797EE2_11</vt:lpwstr>
  </property>
</Properties>
</file>