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0" w:lineRule="exact"/>
        <w:ind w:firstLine="720" w:firstLineChars="200"/>
        <w:jc w:val="center"/>
        <w:rPr>
          <w:rFonts w:eastAsia="方正小标宋简体"/>
          <w:sz w:val="36"/>
          <w:szCs w:val="36"/>
          <w:lang w:bidi="ar-SA"/>
        </w:rPr>
      </w:pPr>
      <w:r>
        <w:rPr>
          <w:rFonts w:eastAsia="方正小标宋简体"/>
          <w:sz w:val="36"/>
          <w:szCs w:val="36"/>
          <w:lang w:bidi="ar-SA"/>
        </w:rPr>
        <w:t>不合格项目说明</w:t>
      </w:r>
    </w:p>
    <w:p>
      <w:pPr>
        <w:adjustRightInd w:val="0"/>
        <w:snapToGrid w:val="0"/>
        <w:spacing w:line="560" w:lineRule="exact"/>
        <w:ind w:firstLine="720" w:firstLineChars="200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20" w:lineRule="exact"/>
        <w:ind w:firstLine="600" w:firstLineChars="200"/>
        <w:textAlignment w:val="auto"/>
        <w:rPr>
          <w:rFonts w:hint="eastAsia" w:eastAsia="黑体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eastAsia="黑体"/>
          <w:b w:val="0"/>
          <w:bCs w:val="0"/>
          <w:color w:val="auto"/>
          <w:sz w:val="30"/>
          <w:szCs w:val="30"/>
          <w:lang w:val="en-US" w:eastAsia="zh-CN" w:bidi="ar-SA"/>
        </w:rPr>
        <w:t>一、标识要求（标识）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0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bidi="ar-SA"/>
        </w:rPr>
      </w:pP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作为通过文字、图形、符号等说明产品质量的一种信息载体,不仅是生产经营者对产品质量做出的一种承诺，也是对产品性能、用途、注意事项的说明。完整的标识不仅可以传递质量安全信息、确保可追溯性、保护知情消费权，同时还可以降低交易成本、规避风险等。《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塑料购物袋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》（GB/T 21661）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规定：非食品接触用塑料购物袋应明确标识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  <w:t>产品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名称、标准编号、规格、公称承重、材质与组分、生产厂家及环保声明和安全声明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；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食品接触用塑料购物袋应明确标识“食品直接接触用塑料购物袋”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  <w:t>并应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标识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  <w:t>产品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名称、标准编号、规格、公称承重、材质与组分、生产厂家以及环保声明和安全声明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。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bidi="ar-SA"/>
        </w:rPr>
        <w:t>《商品零售包装袋》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（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bidi="ar-SA"/>
        </w:rPr>
        <w:t>BB/T 0039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）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  <w:t>规定：包装袋应符合GB/T 18455中的包装回收标识，塑料包装袋还应按照GB 21660标注塑料购物袋名称、标准编号、规格、公称承重、标志、生产厂家等信息。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部分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  <w:t>购物袋产品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未标注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  <w:t>公称承重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  <w:t>生产厂家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，标识项目不符合标准要求。标识信息不完整、不真实和不准确等问题容易导致误导消费者、影响产品正常使用，乃至危害消费者健康安全等问题发生。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20" w:lineRule="exact"/>
        <w:ind w:firstLine="60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0"/>
          <w:szCs w:val="30"/>
          <w:lang w:val="en-US" w:eastAsia="zh-CN" w:bidi="ar-SA"/>
        </w:rPr>
        <w:t>二、提吊试验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0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</w:pP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提吊试验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  <w:t>检测袋子的抗疲劳性能。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《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塑料购物袋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》（GB/T 21661）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  <w:t>规定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  <w:t>：塑料袋在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提吊试验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  <w:t>时袋体及提带处应无破裂、断裂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  <w:t>。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bidi="ar-SA"/>
        </w:rPr>
        <w:t>《商品零售包装袋》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（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bidi="ar-SA"/>
        </w:rPr>
        <w:t>BB/T 0039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）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  <w:t>规定：塑料袋在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提吊试验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  <w:t>时包装袋应无破裂，提系无断裂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  <w:t>。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  <w:t>使用过程中塑料袋提袋处及袋底体易破裂，存在安全隐患，也会降低循环使用的次数。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20" w:lineRule="exact"/>
        <w:ind w:firstLine="600" w:firstLineChars="200"/>
        <w:textAlignment w:val="auto"/>
        <w:rPr>
          <w:rFonts w:hint="default" w:eastAsia="黑体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eastAsia="黑体"/>
          <w:b w:val="0"/>
          <w:bCs w:val="0"/>
          <w:color w:val="auto"/>
          <w:sz w:val="30"/>
          <w:szCs w:val="30"/>
          <w:lang w:val="en-US" w:eastAsia="zh-CN" w:bidi="ar-SA"/>
        </w:rPr>
        <w:t>三、最小厚度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00" w:firstLineChars="200"/>
        <w:textAlignment w:val="auto"/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  <w:t>最小厚度与塑料袋的循环使用有关。太薄的购物袋很容易破裂，不能循环使用，既降低了产品的使用率，又危害环境。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《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塑料购物袋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》（GB/T 21661）、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bidi="ar-SA"/>
        </w:rPr>
        <w:t>《商品零售包装袋》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（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bidi="ar-SA"/>
        </w:rPr>
        <w:t>BB/T 0039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）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  <w:t>规定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  <w:t>：塑料袋的最小厚度不应小于0.025mm。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75FD52B7"/>
    <w:rsid w:val="75FD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widowControl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2023-12-04T08:34:00Z</dcterms:created>
  <dc:creator>小杜儿～</dc:creator>
  <cp:lastModifiedBy>小杜儿～</cp:lastModifiedBy>
  <dcterms:modified xsi:type="dcterms:W3CDTF">2023-12-04T08:34:46Z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FA7AE976FC9F45718AFF159E43DA4925_11</vt:lpwstr>
  </property>
</Properties>
</file>