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附件</w:t>
      </w:r>
      <w:r>
        <w:rPr>
          <w:rFonts w:hint="eastAsia" w:eastAsia="黑体" w:cs="Times New Roman"/>
          <w:b w:val="0"/>
          <w:bCs w:val="0"/>
          <w:sz w:val="32"/>
          <w:szCs w:val="32"/>
          <w:lang w:val="en-US" w:eastAsia="zh-CN"/>
        </w:rPr>
        <w:t>3</w:t>
      </w:r>
    </w:p>
    <w:p>
      <w:pPr>
        <w:adjustRightInd w:val="0"/>
        <w:snapToGrid w:val="0"/>
        <w:spacing w:line="560" w:lineRule="exact"/>
        <w:ind w:firstLine="720" w:firstLineChars="200"/>
        <w:jc w:val="center"/>
        <w:rPr>
          <w:rFonts w:ascii="Times New Roman" w:hAnsi="Times New Roman" w:eastAsia="方正小标宋简体" w:cs="Times New Roman"/>
          <w:b w:val="0"/>
          <w:bCs w:val="0"/>
          <w:sz w:val="36"/>
          <w:szCs w:val="36"/>
        </w:rPr>
      </w:pPr>
      <w:r>
        <w:rPr>
          <w:rFonts w:ascii="Times New Roman" w:hAnsi="Times New Roman" w:eastAsia="方正小标宋简体" w:cs="Times New Roman"/>
          <w:b w:val="0"/>
          <w:bCs w:val="0"/>
          <w:sz w:val="36"/>
          <w:szCs w:val="36"/>
        </w:rPr>
        <w:t>不合格项目说明</w:t>
      </w:r>
    </w:p>
    <w:p>
      <w:pPr>
        <w:numPr>
          <w:ilvl w:val="0"/>
          <w:numId w:val="0"/>
        </w:numPr>
        <w:autoSpaceDE w:val="0"/>
        <w:autoSpaceDN w:val="0"/>
        <w:adjustRightInd w:val="0"/>
        <w:spacing w:beforeLines="0" w:afterLines="0" w:line="480" w:lineRule="exact"/>
        <w:ind w:firstLine="600" w:firstLineChars="200"/>
        <w:rPr>
          <w:rFonts w:hint="eastAsia" w:eastAsia="黑体"/>
          <w:b w:val="0"/>
          <w:bCs w:val="0"/>
          <w:color w:val="auto"/>
          <w:sz w:val="30"/>
          <w:szCs w:val="30"/>
        </w:rPr>
      </w:pPr>
      <w:r>
        <w:rPr>
          <w:rFonts w:hint="eastAsia" w:eastAsia="黑体"/>
          <w:b w:val="0"/>
          <w:bCs w:val="0"/>
          <w:color w:val="auto"/>
          <w:sz w:val="30"/>
          <w:szCs w:val="30"/>
          <w:lang w:val="en-US" w:eastAsia="zh-CN"/>
        </w:rPr>
        <w:t>一、标识</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default"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lang w:val="en-US" w:eastAsia="zh-CN"/>
        </w:rPr>
        <w:t>标识</w:t>
      </w:r>
      <w:r>
        <w:rPr>
          <w:rFonts w:hint="default" w:ascii="CESI仿宋-GB2312" w:hAnsi="CESI仿宋-GB2312" w:eastAsia="CESI仿宋-GB2312" w:cs="CESI仿宋-GB2312"/>
          <w:color w:val="auto"/>
          <w:sz w:val="30"/>
          <w:szCs w:val="30"/>
        </w:rPr>
        <w:t>作为通过文字、图形、符号等说明产品质量、使用方法及其他内容的一种信息载体</w:t>
      </w:r>
      <w:r>
        <w:rPr>
          <w:rFonts w:hint="eastAsia" w:ascii="CESI仿宋-GB2312" w:hAnsi="CESI仿宋-GB2312" w:eastAsia="CESI仿宋-GB2312" w:cs="CESI仿宋-GB2312"/>
          <w:color w:val="auto"/>
          <w:sz w:val="30"/>
          <w:szCs w:val="30"/>
          <w:lang w:eastAsia="zh-CN"/>
        </w:rPr>
        <w:t>，</w:t>
      </w:r>
      <w:r>
        <w:rPr>
          <w:rFonts w:hint="default" w:ascii="CESI仿宋-GB2312" w:hAnsi="CESI仿宋-GB2312" w:eastAsia="CESI仿宋-GB2312" w:cs="CESI仿宋-GB2312"/>
          <w:color w:val="auto"/>
          <w:sz w:val="30"/>
          <w:szCs w:val="30"/>
        </w:rPr>
        <w:t>不仅是生产经营者对产品质量做出的一种承诺，也是对产品性能</w:t>
      </w:r>
      <w:bookmarkStart w:id="0" w:name="_GoBack"/>
      <w:bookmarkEnd w:id="0"/>
      <w:r>
        <w:rPr>
          <w:rFonts w:hint="default" w:ascii="CESI仿宋-GB2312" w:hAnsi="CESI仿宋-GB2312" w:eastAsia="CESI仿宋-GB2312" w:cs="CESI仿宋-GB2312"/>
          <w:color w:val="auto"/>
          <w:sz w:val="30"/>
          <w:szCs w:val="30"/>
        </w:rPr>
        <w:t>、用途、注意事项的说明。</w:t>
      </w:r>
      <w:r>
        <w:rPr>
          <w:rFonts w:hint="eastAsia" w:ascii="CESI仿宋-GB2312" w:hAnsi="CESI仿宋-GB2312" w:eastAsia="CESI仿宋-GB2312" w:cs="CESI仿宋-GB2312"/>
          <w:color w:val="auto"/>
          <w:sz w:val="30"/>
          <w:szCs w:val="30"/>
          <w:lang w:val="en-US" w:eastAsia="zh-CN"/>
        </w:rPr>
        <w:t>正确的标识</w:t>
      </w:r>
      <w:r>
        <w:rPr>
          <w:rFonts w:hint="default" w:ascii="CESI仿宋-GB2312" w:hAnsi="CESI仿宋-GB2312" w:eastAsia="CESI仿宋-GB2312" w:cs="CESI仿宋-GB2312"/>
          <w:color w:val="auto"/>
          <w:sz w:val="30"/>
          <w:szCs w:val="30"/>
        </w:rPr>
        <w:t>不仅可以传递质量安全信息、确保可追溯性、保护知情消费权、指导</w:t>
      </w:r>
      <w:r>
        <w:rPr>
          <w:rFonts w:hint="eastAsia" w:ascii="CESI仿宋-GB2312" w:hAnsi="CESI仿宋-GB2312" w:eastAsia="CESI仿宋-GB2312" w:cs="CESI仿宋-GB2312"/>
          <w:color w:val="auto"/>
          <w:sz w:val="30"/>
          <w:szCs w:val="30"/>
          <w:lang w:val="en-US" w:eastAsia="zh-CN"/>
        </w:rPr>
        <w:t>用户</w:t>
      </w:r>
      <w:r>
        <w:rPr>
          <w:rFonts w:hint="default" w:ascii="CESI仿宋-GB2312" w:hAnsi="CESI仿宋-GB2312" w:eastAsia="CESI仿宋-GB2312" w:cs="CESI仿宋-GB2312"/>
          <w:color w:val="auto"/>
          <w:sz w:val="30"/>
          <w:szCs w:val="30"/>
        </w:rPr>
        <w:t>正确使用，同时还可以降低交易成本、规避风险等</w:t>
      </w:r>
      <w:r>
        <w:rPr>
          <w:rFonts w:hint="default" w:ascii="CESI仿宋-GB2312" w:hAnsi="CESI仿宋-GB2312" w:eastAsia="CESI仿宋-GB2312" w:cs="CESI仿宋-GB2312"/>
          <w:color w:val="auto"/>
          <w:sz w:val="30"/>
          <w:szCs w:val="30"/>
          <w:lang w:eastAsia="zh-CN"/>
        </w:rPr>
        <w:t>。GB 21027-2020《学生用品的安全通用要求》标准要求凡本标准涵盖的产品(参见附录 G),应在产品或其最小包装或其销售包装上标明“本产品适合14周岁以下(含14周岁)的学生使用”或“适用年龄:6岁至14岁”。</w:t>
      </w:r>
      <w:r>
        <w:rPr>
          <w:rFonts w:hint="default" w:ascii="CESI仿宋-GB2312" w:hAnsi="CESI仿宋-GB2312" w:eastAsia="CESI仿宋-GB2312" w:cs="CESI仿宋-GB2312"/>
          <w:color w:val="auto"/>
          <w:sz w:val="30"/>
          <w:szCs w:val="30"/>
          <w:lang w:val="en-US" w:eastAsia="zh-CN"/>
        </w:rPr>
        <w:t>抽查发现</w:t>
      </w:r>
      <w:r>
        <w:rPr>
          <w:rFonts w:hint="eastAsia" w:ascii="CESI仿宋-GB2312" w:hAnsi="CESI仿宋-GB2312" w:eastAsia="CESI仿宋-GB2312" w:cs="CESI仿宋-GB2312"/>
          <w:color w:val="auto"/>
          <w:sz w:val="30"/>
          <w:szCs w:val="30"/>
          <w:lang w:val="en-US" w:eastAsia="zh-CN"/>
        </w:rPr>
        <w:t>绝大</w:t>
      </w:r>
      <w:r>
        <w:rPr>
          <w:rFonts w:hint="default" w:ascii="CESI仿宋-GB2312" w:hAnsi="CESI仿宋-GB2312" w:eastAsia="CESI仿宋-GB2312" w:cs="CESI仿宋-GB2312"/>
          <w:color w:val="auto"/>
          <w:sz w:val="30"/>
          <w:szCs w:val="30"/>
        </w:rPr>
        <w:t>部分</w:t>
      </w:r>
      <w:r>
        <w:rPr>
          <w:rFonts w:hint="eastAsia" w:ascii="CESI仿宋-GB2312" w:hAnsi="CESI仿宋-GB2312" w:eastAsia="CESI仿宋-GB2312" w:cs="CESI仿宋-GB2312"/>
          <w:color w:val="auto"/>
          <w:sz w:val="30"/>
          <w:szCs w:val="30"/>
          <w:lang w:val="en-US" w:eastAsia="zh-CN"/>
        </w:rPr>
        <w:t>学生用品</w:t>
      </w:r>
      <w:r>
        <w:rPr>
          <w:rFonts w:hint="default" w:ascii="CESI仿宋-GB2312" w:hAnsi="CESI仿宋-GB2312" w:eastAsia="CESI仿宋-GB2312" w:cs="CESI仿宋-GB2312"/>
          <w:color w:val="auto"/>
          <w:sz w:val="30"/>
          <w:szCs w:val="30"/>
          <w:lang w:val="en-US" w:eastAsia="zh-CN"/>
        </w:rPr>
        <w:t>产品</w:t>
      </w:r>
      <w:r>
        <w:rPr>
          <w:rFonts w:hint="eastAsia" w:ascii="CESI仿宋-GB2312" w:hAnsi="CESI仿宋-GB2312" w:eastAsia="CESI仿宋-GB2312" w:cs="CESI仿宋-GB2312"/>
          <w:color w:val="auto"/>
          <w:sz w:val="30"/>
          <w:szCs w:val="30"/>
          <w:lang w:val="en-US" w:eastAsia="zh-CN"/>
        </w:rPr>
        <w:t>对以上内容标注存在不规范、未标注等现象，容易造成消费者误用</w:t>
      </w:r>
      <w:r>
        <w:rPr>
          <w:rFonts w:hint="default" w:ascii="CESI仿宋-GB2312" w:hAnsi="CESI仿宋-GB2312" w:eastAsia="CESI仿宋-GB2312" w:cs="CESI仿宋-GB2312"/>
          <w:color w:val="auto"/>
          <w:sz w:val="30"/>
          <w:szCs w:val="30"/>
          <w:lang w:eastAsia="zh-CN"/>
        </w:rPr>
        <w:t>。</w:t>
      </w:r>
    </w:p>
    <w:p>
      <w:pPr>
        <w:widowControl w:val="0"/>
        <w:numPr>
          <w:ilvl w:val="0"/>
          <w:numId w:val="1"/>
        </w:numPr>
        <w:autoSpaceDE w:val="0"/>
        <w:autoSpaceDN w:val="0"/>
        <w:adjustRightInd w:val="0"/>
        <w:spacing w:beforeLines="0" w:afterLines="0" w:line="480" w:lineRule="exact"/>
        <w:ind w:firstLine="600" w:firstLineChars="200"/>
        <w:textAlignment w:val="auto"/>
        <w:rPr>
          <w:rFonts w:hint="eastAsia" w:eastAsia="黑体"/>
          <w:b w:val="0"/>
          <w:bCs w:val="0"/>
          <w:color w:val="auto"/>
          <w:sz w:val="30"/>
          <w:szCs w:val="30"/>
          <w:lang w:val="en-US" w:eastAsia="zh-CN"/>
        </w:rPr>
      </w:pPr>
      <w:r>
        <w:rPr>
          <w:rFonts w:hint="eastAsia" w:eastAsia="黑体"/>
          <w:b w:val="0"/>
          <w:bCs w:val="0"/>
          <w:color w:val="auto"/>
          <w:sz w:val="30"/>
          <w:szCs w:val="30"/>
          <w:lang w:val="en-US" w:eastAsia="zh-CN"/>
        </w:rPr>
        <w:t>可触及的塑料件中邻苯二甲酸酯增塑剂的限量</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lang w:val="en-US" w:eastAsia="zh-CN"/>
        </w:rPr>
      </w:pPr>
      <w:r>
        <w:rPr>
          <w:rFonts w:hint="eastAsia" w:ascii="CESI仿宋-GB2312" w:hAnsi="CESI仿宋-GB2312" w:eastAsia="CESI仿宋-GB2312" w:cs="CESI仿宋-GB2312"/>
          <w:color w:val="auto"/>
          <w:sz w:val="30"/>
          <w:szCs w:val="30"/>
          <w:lang w:val="en-US" w:eastAsia="zh-CN"/>
        </w:rPr>
        <w:t>邻苯二甲酸酯是一种最常用的增塑剂，增塑剂对人体健康的影响早有结论，且消费者无法通过外观辨别。GB 21027-2020《学生用品的安全通用要求》标准要求可触及的塑料件中邻苯二甲酸二己酯（DEHP）、邻苯二甲酸二丁酯（DBP）、邻苯二甲酸丁苄酯（BBP）三种邻苯二甲酸酯总含量应不超过1000mg/kg。本次抽查发现多批次产品的可触及的塑料件中邻苯二甲酸酯增塑剂超标。国内外的动物实验已经证实，长期摄入增塑剂会造成试验动物的外生殖器畸形率增加，生殖能力下降。属于内分泌干扰物，也会增加儿童患哮喘和过敏症的风险。</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lang w:val="en-US" w:eastAsia="zh-CN"/>
        </w:rPr>
      </w:pPr>
    </w:p>
    <w:p/>
    <w:sectPr>
      <w:pgSz w:w="11906" w:h="16838"/>
      <w:pgMar w:top="2098" w:right="1474" w:bottom="1984" w:left="1587" w:header="851" w:footer="992" w:gutter="0"/>
      <w:cols w:space="72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549AB"/>
    <w:multiLevelType w:val="singleLevel"/>
    <w:tmpl w:val="63A549A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3D1F1322"/>
    <w:rsid w:val="3D1F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534</Words>
  <Characters>575</Characters>
  <Lines>0</Lines>
  <Paragraphs>0</Paragraphs>
  <TotalTime>0</TotalTime>
  <ScaleCrop>false</ScaleCrop>
  <LinksUpToDate>false</LinksUpToDate>
  <CharactersWithSpaces>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2023-08-21T03:23:00Z</dcterms:created>
  <dc:creator>小杜儿～</dc:creator>
  <cp:lastModifiedBy>小杜儿～</cp:lastModifiedBy>
  <dcterms:modified xsi:type="dcterms:W3CDTF">2023-08-21T03:24:06Z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A5AAB081B7814FA292ACB1012DF1B36F_11</vt:lpwstr>
  </property>
</Properties>
</file>