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color w:val="auto"/>
          <w:sz w:val="44"/>
        </w:rPr>
      </w:pPr>
      <w:r>
        <w:rPr>
          <w:rFonts w:hint="eastAsia" w:ascii="黑体" w:eastAsia="黑体"/>
          <w:b w:val="0"/>
          <w:bCs w:val="0"/>
          <w:color w:val="auto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本次检验项目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依据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color w:val="auto"/>
          <w:sz w:val="30"/>
          <w:szCs w:val="30"/>
          <w:highlight w:val="none"/>
        </w:rPr>
      </w:pPr>
      <w:r>
        <w:rPr>
          <w:rFonts w:hint="eastAsia" w:eastAsia="仿宋_GB2312"/>
          <w:color w:val="auto"/>
          <w:sz w:val="30"/>
          <w:szCs w:val="30"/>
          <w:highlight w:val="none"/>
        </w:rPr>
        <w:t>GB 18401《国家纺织产品基本安全技术规范》；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color w:val="auto"/>
          <w:sz w:val="30"/>
          <w:szCs w:val="30"/>
          <w:highlight w:val="none"/>
        </w:rPr>
      </w:pPr>
      <w:r>
        <w:rPr>
          <w:rFonts w:hint="eastAsia" w:eastAsia="仿宋_GB2312"/>
          <w:color w:val="auto"/>
          <w:sz w:val="30"/>
          <w:szCs w:val="30"/>
          <w:highlight w:val="none"/>
        </w:rPr>
        <w:t>GB/T 29862《纺织品 纤维含量的标识》；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color w:val="auto"/>
          <w:sz w:val="30"/>
          <w:szCs w:val="30"/>
          <w:highlight w:val="none"/>
        </w:rPr>
      </w:pPr>
      <w:r>
        <w:rPr>
          <w:rFonts w:hint="eastAsia" w:eastAsia="仿宋_GB2312"/>
          <w:color w:val="auto"/>
          <w:sz w:val="30"/>
          <w:szCs w:val="30"/>
          <w:highlight w:val="none"/>
        </w:rPr>
        <w:t>GB/T 5296.4《消费品使</w:t>
      </w:r>
      <w:bookmarkStart w:id="0" w:name="_GoBack"/>
      <w:r>
        <w:rPr>
          <w:rFonts w:hint="eastAsia" w:eastAsia="仿宋_GB2312"/>
          <w:color w:val="auto"/>
          <w:sz w:val="30"/>
          <w:szCs w:val="30"/>
          <w:highlight w:val="none"/>
        </w:rPr>
        <w:t>用</w:t>
      </w:r>
      <w:bookmarkEnd w:id="0"/>
      <w:r>
        <w:rPr>
          <w:rFonts w:hint="eastAsia" w:eastAsia="仿宋_GB2312"/>
          <w:color w:val="auto"/>
          <w:sz w:val="30"/>
          <w:szCs w:val="30"/>
          <w:highlight w:val="none"/>
        </w:rPr>
        <w:t>说明 第4部分：纺织品和服装》；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color w:val="auto"/>
          <w:sz w:val="30"/>
          <w:szCs w:val="30"/>
          <w:highlight w:val="none"/>
        </w:rPr>
      </w:pPr>
      <w:r>
        <w:rPr>
          <w:rFonts w:hint="eastAsia" w:eastAsia="仿宋_GB2312"/>
          <w:color w:val="auto"/>
          <w:sz w:val="30"/>
          <w:szCs w:val="30"/>
          <w:highlight w:val="none"/>
        </w:rPr>
        <w:t>GB/T 14272《羽绒服装》；</w:t>
      </w:r>
    </w:p>
    <w:p>
      <w:pPr>
        <w:spacing w:beforeLines="0" w:afterLines="0" w:line="480" w:lineRule="exact"/>
        <w:ind w:firstLine="600" w:firstLineChars="200"/>
        <w:rPr>
          <w:rFonts w:eastAsia="仿宋_GB2312"/>
          <w:color w:val="auto"/>
          <w:sz w:val="30"/>
          <w:szCs w:val="30"/>
          <w:highlight w:val="none"/>
        </w:rPr>
      </w:pPr>
      <w:r>
        <w:rPr>
          <w:rFonts w:hint="eastAsia" w:eastAsia="仿宋_GB2312"/>
          <w:color w:val="auto"/>
          <w:sz w:val="30"/>
          <w:szCs w:val="30"/>
          <w:highlight w:val="none"/>
        </w:rPr>
        <w:t>企业自我声明公开执行的团体标准、企业标准及产品明示质量要求。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i w:val="0"/>
          <w:caps w:val="0"/>
          <w:color w:val="auto"/>
          <w:spacing w:val="0"/>
          <w:sz w:val="30"/>
          <w:szCs w:val="30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0"/>
          <w:szCs w:val="30"/>
          <w:vertAlign w:val="baseline"/>
        </w:rPr>
        <w:t>2.检验项目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 w:bidi="ar-SA"/>
        </w:rPr>
        <w:t>2.1 服装安全性指标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eastAsia="仿宋_GB2312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eastAsia="仿宋_GB2312"/>
          <w:b w:val="0"/>
          <w:bCs/>
          <w:color w:val="auto"/>
          <w:sz w:val="30"/>
          <w:szCs w:val="30"/>
          <w:highlight w:val="none"/>
        </w:rPr>
        <w:t>.1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</w:rPr>
        <w:t>甲醛含量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eastAsia="仿宋_GB2312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eastAsia="仿宋_GB2312"/>
          <w:b w:val="0"/>
          <w:bCs/>
          <w:color w:val="auto"/>
          <w:sz w:val="30"/>
          <w:szCs w:val="30"/>
          <w:highlight w:val="none"/>
        </w:rPr>
        <w:t>.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eastAsia="仿宋_GB2312"/>
          <w:b w:val="0"/>
          <w:bCs/>
          <w:color w:val="auto"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</w:rPr>
        <w:t>pH值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eastAsia="仿宋_GB2312"/>
          <w:b w:val="0"/>
          <w:bCs/>
          <w:i w:val="0"/>
          <w:i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2.1.3可分解致癌芳香胺染料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 w:bidi="ar-SA"/>
        </w:rPr>
        <w:t>2.2 产品性能指标</w:t>
      </w:r>
    </w:p>
    <w:p>
      <w:pPr>
        <w:spacing w:beforeLines="0" w:afterLines="0" w:line="480" w:lineRule="exact"/>
        <w:ind w:firstLine="600" w:firstLineChars="200"/>
        <w:outlineLvl w:val="1"/>
        <w:rPr>
          <w:rFonts w:eastAsia="仿宋_GB2312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 w:val="0"/>
          <w:bCs/>
          <w:color w:val="auto"/>
          <w:sz w:val="30"/>
          <w:szCs w:val="30"/>
          <w:highlight w:val="none"/>
        </w:rPr>
        <w:t xml:space="preserve">.1 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</w:rPr>
        <w:t>纤维成分及含量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eastAsia="仿宋_GB2312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 w:val="0"/>
          <w:bCs/>
          <w:color w:val="auto"/>
          <w:sz w:val="30"/>
          <w:szCs w:val="30"/>
          <w:highlight w:val="none"/>
        </w:rPr>
        <w:t>.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</w:rPr>
        <w:t>耐水色牢度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eastAsia="zh-CN"/>
        </w:rPr>
        <w:t>2.2.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eastAsia="zh-CN"/>
        </w:rPr>
        <w:t>耐酸碱汗渍色牢度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eastAsia="仿宋_GB2312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 w:val="0"/>
          <w:bCs/>
          <w:color w:val="auto"/>
          <w:sz w:val="30"/>
          <w:szCs w:val="30"/>
          <w:highlight w:val="none"/>
        </w:rPr>
        <w:t>.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</w:rPr>
        <w:t>耐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干摩擦</w:t>
      </w:r>
      <w:r>
        <w:rPr>
          <w:rFonts w:hint="eastAsia" w:eastAsia="仿宋_GB2312"/>
          <w:b w:val="0"/>
          <w:bCs/>
          <w:color w:val="auto"/>
          <w:sz w:val="30"/>
          <w:szCs w:val="30"/>
          <w:highlight w:val="none"/>
        </w:rPr>
        <w:t>色牢度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 w:bidi="ar-SA"/>
        </w:rPr>
        <w:t>2.3 其它指标（产品使用说明）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 w:bidi="ar-SA"/>
        </w:rPr>
        <w:sectPr>
          <w:pgSz w:w="11906" w:h="16838"/>
          <w:pgMar w:top="1701" w:right="1474" w:bottom="1701" w:left="1587" w:header="851" w:footer="992" w:gutter="0"/>
          <w:cols w:space="720" w:num="1"/>
          <w:rtlGutter w:val="0"/>
          <w:docGrid w:type="lines" w:linePitch="32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76DF458D"/>
    <w:rsid w:val="76D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259</Characters>
  <Lines>0</Lines>
  <Paragraphs>0</Paragraphs>
  <TotalTime>0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2023-08-11T03:10:00Z</dcterms:created>
  <dc:creator>小杜儿～</dc:creator>
  <cp:lastModifiedBy>小杜儿～</cp:lastModifiedBy>
  <dcterms:modified xsi:type="dcterms:W3CDTF">2023-08-11T03:10:15Z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E5355DA648BD495CB5895B8FC3BD4167_11</vt:lpwstr>
  </property>
</Properties>
</file>