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440" w:lineRule="exact"/>
        <w:jc w:val="center"/>
        <w:rPr>
          <w:rFonts w:ascii="Times New Roman" w:hAnsi="Times New Roman" w:eastAsia="方正小标宋简体" w:cs="Times New Roman"/>
          <w:color w:val="000000"/>
          <w:sz w:val="32"/>
          <w:szCs w:val="32"/>
        </w:rPr>
      </w:pPr>
      <w:r>
        <w:rPr>
          <w:rFonts w:ascii="Times New Roman" w:hAnsi="Times New Roman" w:eastAsia="方正小标宋简体" w:cs="Times New Roman"/>
          <w:color w:val="000000"/>
          <w:sz w:val="32"/>
          <w:szCs w:val="32"/>
        </w:rPr>
        <w:t>202</w:t>
      </w:r>
      <w:r>
        <w:rPr>
          <w:rFonts w:hint="eastAsia" w:ascii="Times New Roman" w:hAnsi="Times New Roman" w:eastAsia="方正小标宋简体" w:cs="Times New Roman"/>
          <w:color w:val="000000"/>
          <w:sz w:val="32"/>
          <w:szCs w:val="32"/>
        </w:rPr>
        <w:t>5</w:t>
      </w:r>
      <w:r>
        <w:rPr>
          <w:rFonts w:ascii="Times New Roman" w:hAnsi="Times New Roman" w:eastAsia="方正小标宋简体" w:cs="Times New Roman"/>
          <w:color w:val="000000"/>
          <w:sz w:val="32"/>
          <w:szCs w:val="32"/>
        </w:rPr>
        <w:t>年北京市学生用品产品质量监督抽查实施细则</w:t>
      </w:r>
    </w:p>
    <w:p>
      <w:pPr>
        <w:snapToGrid w:val="0"/>
        <w:spacing w:line="440" w:lineRule="exact"/>
        <w:rPr>
          <w:rFonts w:ascii="Times New Roman" w:hAnsi="Times New Roman" w:eastAsia="黑体" w:cs="Times New Roman"/>
          <w:color w:val="000000"/>
          <w:szCs w:val="21"/>
        </w:rPr>
      </w:pPr>
    </w:p>
    <w:p>
      <w:pPr>
        <w:snapToGrid w:val="0"/>
        <w:spacing w:line="440" w:lineRule="exact"/>
        <w:rPr>
          <w:rFonts w:ascii="Times New Roman" w:hAnsi="Times New Roman" w:eastAsia="黑体" w:cs="Times New Roman"/>
          <w:color w:val="000000"/>
          <w:szCs w:val="21"/>
        </w:rPr>
      </w:pPr>
      <w:r>
        <w:rPr>
          <w:rFonts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随机数一般可使用随机数表等方法产生。</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抽样基数满足抽样数量即可，具体抽取检验样品数量及备用样品数量见表</w:t>
      </w:r>
      <w:r>
        <w:rPr>
          <w:rFonts w:hint="eastAsia" w:ascii="Times New Roman" w:hAnsi="Times New Roman" w:cs="Times New Roman"/>
          <w:color w:val="000000"/>
          <w:szCs w:val="21"/>
        </w:rPr>
        <w:t>1-表2。</w:t>
      </w:r>
    </w:p>
    <w:p>
      <w:pPr>
        <w:snapToGrid w:val="0"/>
        <w:spacing w:line="440" w:lineRule="exact"/>
        <w:ind w:firstLine="420" w:firstLineChars="200"/>
        <w:jc w:val="center"/>
        <w:rPr>
          <w:rFonts w:hint="eastAsia" w:ascii="Times New Roman" w:hAnsi="Times New Roman" w:cs="Times New Roman"/>
          <w:color w:val="000000"/>
          <w:szCs w:val="21"/>
        </w:rPr>
      </w:pPr>
      <w:r>
        <w:rPr>
          <w:rFonts w:hint="eastAsia" w:ascii="Times New Roman" w:hAnsi="Times New Roman" w:cs="Times New Roman"/>
          <w:color w:val="000000"/>
          <w:szCs w:val="21"/>
        </w:rPr>
        <w:t>表1：抽取学生文具样品数量</w:t>
      </w:r>
    </w:p>
    <w:tbl>
      <w:tblPr>
        <w:tblStyle w:val="13"/>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870"/>
        <w:gridCol w:w="1695"/>
        <w:gridCol w:w="1950"/>
        <w:gridCol w:w="2025"/>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72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序号</w:t>
            </w:r>
          </w:p>
        </w:tc>
        <w:tc>
          <w:tcPr>
            <w:tcW w:w="2565" w:type="dxa"/>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产品种类</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抽样数量</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检验样品数量</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870"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美术</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用品</w:t>
            </w: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油画棒</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2盒</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蜡笔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2盒</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水彩画颜料</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2盒</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水彩笔（马克笔）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2套（每套不少于10支）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1套（每套不少于10支）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1套（每套不少于10支）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彩色铅笔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2盒</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870"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书写笔</w:t>
            </w: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油墨圆珠笔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水性圆珠笔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中性墨水圆珠笔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考试用圆珠笔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铅笔</w:t>
            </w:r>
          </w:p>
        </w:tc>
        <w:tc>
          <w:tcPr>
            <w:tcW w:w="1950"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活动铅笔</w:t>
            </w:r>
          </w:p>
        </w:tc>
        <w:tc>
          <w:tcPr>
            <w:tcW w:w="1950"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bookmarkStart w:id="0" w:name="_Hlk101878011"/>
            <w:r>
              <w:rPr>
                <w:rFonts w:hint="default" w:ascii="Times New Roman" w:hAnsi="Times New Roman" w:cs="Times New Roman"/>
                <w:szCs w:val="21"/>
              </w:rPr>
              <w:t>考试用铅笔</w:t>
            </w:r>
            <w:bookmarkEnd w:id="0"/>
          </w:p>
        </w:tc>
        <w:tc>
          <w:tcPr>
            <w:tcW w:w="1950"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铅芯</w:t>
            </w:r>
          </w:p>
        </w:tc>
        <w:tc>
          <w:tcPr>
            <w:tcW w:w="1950"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2盒</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870"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记号笔</w:t>
            </w: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记号笔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荧光笔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白板笔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微孔笔头墨水笔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87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橡皮擦</w:t>
            </w: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橡皮擦</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2块</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1块</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870"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涂改</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制品</w:t>
            </w: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修正液</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70mL</w:t>
            </w:r>
          </w:p>
        </w:tc>
        <w:tc>
          <w:tcPr>
            <w:tcW w:w="2025" w:type="dxa"/>
            <w:vAlign w:val="center"/>
          </w:tcPr>
          <w:p>
            <w:pPr>
              <w:tabs>
                <w:tab w:val="center" w:pos="4153"/>
                <w:tab w:val="right" w:pos="8306"/>
              </w:tabs>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40mL</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修正笔</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20支</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修正带</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180m</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100m</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80m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bookmarkStart w:id="1" w:name="_Hlk101878019"/>
            <w:r>
              <w:rPr>
                <w:rFonts w:hint="default" w:ascii="Times New Roman" w:hAnsi="Times New Roman" w:cs="Times New Roman"/>
                <w:szCs w:val="21"/>
              </w:rPr>
              <w:t>修正贴</w:t>
            </w:r>
            <w:bookmarkEnd w:id="1"/>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100张</w:t>
            </w:r>
          </w:p>
        </w:tc>
        <w:tc>
          <w:tcPr>
            <w:tcW w:w="2025"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50张</w:t>
            </w:r>
          </w:p>
        </w:tc>
        <w:tc>
          <w:tcPr>
            <w:tcW w:w="1950" w:type="dxa"/>
            <w:vAlign w:val="top"/>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50张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6</w:t>
            </w:r>
          </w:p>
        </w:tc>
        <w:tc>
          <w:tcPr>
            <w:tcW w:w="870"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胶黏剂</w:t>
            </w:r>
          </w:p>
        </w:tc>
        <w:tc>
          <w:tcPr>
            <w:tcW w:w="1695" w:type="dxa"/>
            <w:vAlign w:val="center"/>
          </w:tcPr>
          <w:p>
            <w:pPr>
              <w:adjustRightInd w:val="0"/>
              <w:snapToGrid w:val="0"/>
              <w:jc w:val="center"/>
              <w:rPr>
                <w:rFonts w:hint="default" w:ascii="Times New Roman" w:hAnsi="Times New Roman" w:cs="Times New Roman"/>
                <w:szCs w:val="21"/>
              </w:rPr>
            </w:pPr>
            <w:bookmarkStart w:id="2" w:name="_Hlk101878026"/>
            <w:r>
              <w:rPr>
                <w:rFonts w:hint="default" w:ascii="Times New Roman" w:hAnsi="Times New Roman" w:cs="Times New Roman"/>
                <w:szCs w:val="21"/>
              </w:rPr>
              <w:t>液体胶</w:t>
            </w:r>
            <w:bookmarkEnd w:id="2"/>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360mL</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240mL</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120mL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固体胶</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120g</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80g</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bookmarkStart w:id="3" w:name="_Hlk101878034"/>
            <w:r>
              <w:rPr>
                <w:rFonts w:hint="default" w:ascii="Times New Roman" w:hAnsi="Times New Roman" w:cs="Times New Roman"/>
                <w:szCs w:val="21"/>
              </w:rPr>
              <w:t>浆糊</w:t>
            </w:r>
            <w:bookmarkEnd w:id="3"/>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400mL/460g</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260mL/300g</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140mL/160g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87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笔袋</w:t>
            </w: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笔袋</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870"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卷削类文具、绘图仪尺、学生圆规、文具盒</w:t>
            </w: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卷笔刀</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手动削笔机</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文具剪刀</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bookmarkStart w:id="4" w:name="_Hlk101878043"/>
            <w:r>
              <w:rPr>
                <w:rFonts w:hint="default" w:ascii="Times New Roman" w:hAnsi="Times New Roman" w:cs="Times New Roman"/>
                <w:szCs w:val="21"/>
              </w:rPr>
              <w:t>美工刀</w:t>
            </w:r>
            <w:bookmarkEnd w:id="4"/>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bookmarkStart w:id="5" w:name="_Hlk101878051"/>
            <w:r>
              <w:rPr>
                <w:rFonts w:hint="default" w:ascii="Times New Roman" w:hAnsi="Times New Roman" w:cs="Times New Roman"/>
                <w:szCs w:val="21"/>
              </w:rPr>
              <w:t>学生圆规</w:t>
            </w:r>
            <w:bookmarkEnd w:id="5"/>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bookmarkStart w:id="6" w:name="_Hlk101878059"/>
            <w:r>
              <w:rPr>
                <w:rFonts w:hint="default" w:ascii="Times New Roman" w:hAnsi="Times New Roman" w:cs="Times New Roman"/>
                <w:szCs w:val="21"/>
              </w:rPr>
              <w:t>绘图仪尺</w:t>
            </w:r>
            <w:bookmarkEnd w:id="6"/>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Merge w:val="continue"/>
            <w:vAlign w:val="center"/>
          </w:tcPr>
          <w:p>
            <w:pPr>
              <w:adjustRightInd w:val="0"/>
              <w:snapToGrid w:val="0"/>
              <w:jc w:val="center"/>
              <w:rPr>
                <w:rFonts w:hint="default" w:ascii="Times New Roman" w:hAnsi="Times New Roman" w:cs="Times New Roman"/>
                <w:szCs w:val="21"/>
              </w:rPr>
            </w:pPr>
          </w:p>
        </w:tc>
        <w:tc>
          <w:tcPr>
            <w:tcW w:w="870" w:type="dxa"/>
            <w:vMerge w:val="continue"/>
            <w:vAlign w:val="center"/>
          </w:tcPr>
          <w:p>
            <w:pPr>
              <w:adjustRightInd w:val="0"/>
              <w:snapToGrid w:val="0"/>
              <w:jc w:val="center"/>
              <w:rPr>
                <w:rFonts w:hint="default" w:ascii="Times New Roman" w:hAnsi="Times New Roman" w:cs="Times New Roman"/>
                <w:szCs w:val="21"/>
              </w:rPr>
            </w:pPr>
          </w:p>
        </w:tc>
        <w:tc>
          <w:tcPr>
            <w:tcW w:w="1695" w:type="dxa"/>
            <w:vAlign w:val="center"/>
          </w:tcPr>
          <w:p>
            <w:pPr>
              <w:adjustRightInd w:val="0"/>
              <w:snapToGrid w:val="0"/>
              <w:jc w:val="center"/>
              <w:rPr>
                <w:rFonts w:hint="default" w:ascii="Times New Roman" w:hAnsi="Times New Roman" w:cs="Times New Roman"/>
                <w:szCs w:val="21"/>
              </w:rPr>
            </w:pPr>
            <w:bookmarkStart w:id="7" w:name="_Hlk101878066"/>
            <w:r>
              <w:rPr>
                <w:rFonts w:hint="default" w:ascii="Times New Roman" w:hAnsi="Times New Roman" w:cs="Times New Roman"/>
                <w:szCs w:val="21"/>
              </w:rPr>
              <w:t>文具盒</w:t>
            </w:r>
            <w:bookmarkEnd w:id="7"/>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87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课业</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簿册</w:t>
            </w:r>
          </w:p>
        </w:tc>
        <w:tc>
          <w:tcPr>
            <w:tcW w:w="169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课业簿册</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8本</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4本</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w:t>
            </w:r>
          </w:p>
        </w:tc>
        <w:tc>
          <w:tcPr>
            <w:tcW w:w="87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书套</w:t>
            </w:r>
          </w:p>
        </w:tc>
        <w:tc>
          <w:tcPr>
            <w:tcW w:w="1695" w:type="dxa"/>
            <w:vAlign w:val="center"/>
          </w:tcPr>
          <w:p>
            <w:pPr>
              <w:adjustRightInd w:val="0"/>
              <w:snapToGrid w:val="0"/>
              <w:jc w:val="center"/>
              <w:rPr>
                <w:rFonts w:hint="default" w:ascii="Times New Roman" w:hAnsi="Times New Roman" w:cs="Times New Roman"/>
                <w:szCs w:val="21"/>
              </w:rPr>
            </w:pPr>
            <w:bookmarkStart w:id="8" w:name="_Hlk101878076"/>
            <w:r>
              <w:rPr>
                <w:rFonts w:hint="default" w:ascii="Times New Roman" w:hAnsi="Times New Roman" w:cs="Times New Roman"/>
                <w:szCs w:val="21"/>
              </w:rPr>
              <w:t>书套</w:t>
            </w:r>
            <w:bookmarkEnd w:id="8"/>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3只</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2只</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2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11</w:t>
            </w:r>
          </w:p>
        </w:tc>
        <w:tc>
          <w:tcPr>
            <w:tcW w:w="87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彩泥</w:t>
            </w:r>
          </w:p>
        </w:tc>
        <w:tc>
          <w:tcPr>
            <w:tcW w:w="1695" w:type="dxa"/>
            <w:vAlign w:val="center"/>
          </w:tcPr>
          <w:p>
            <w:pPr>
              <w:adjustRightInd w:val="0"/>
              <w:snapToGrid w:val="0"/>
              <w:jc w:val="center"/>
              <w:rPr>
                <w:rFonts w:hint="default" w:ascii="Times New Roman" w:hAnsi="Times New Roman" w:cs="Times New Roman"/>
                <w:szCs w:val="21"/>
              </w:rPr>
            </w:pPr>
            <w:bookmarkStart w:id="9" w:name="_Hlk101878088"/>
            <w:r>
              <w:rPr>
                <w:rFonts w:hint="default" w:ascii="Times New Roman" w:hAnsi="Times New Roman" w:cs="Times New Roman"/>
                <w:szCs w:val="21"/>
              </w:rPr>
              <w:t>彩泥</w:t>
            </w:r>
            <w:bookmarkEnd w:id="9"/>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2套（单色不少于8g）</w:t>
            </w:r>
          </w:p>
        </w:tc>
        <w:tc>
          <w:tcPr>
            <w:tcW w:w="202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1套（单色不少于8g）</w:t>
            </w:r>
          </w:p>
        </w:tc>
        <w:tc>
          <w:tcPr>
            <w:tcW w:w="1950"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1套（单色不少于8g）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14" w:type="dxa"/>
            <w:gridSpan w:val="6"/>
            <w:vAlign w:val="center"/>
          </w:tcPr>
          <w:p>
            <w:pPr>
              <w:adjustRightInd w:val="0"/>
              <w:snapToGrid w:val="0"/>
              <w:jc w:val="left"/>
              <w:rPr>
                <w:rFonts w:hint="default" w:ascii="Times New Roman" w:hAnsi="Times New Roman" w:cs="Times New Roman"/>
                <w:szCs w:val="21"/>
              </w:rPr>
            </w:pPr>
            <w:r>
              <w:rPr>
                <w:rFonts w:hint="default" w:ascii="Times New Roman" w:hAnsi="Times New Roman" w:cs="Times New Roman"/>
                <w:szCs w:val="21"/>
              </w:rPr>
              <w:t>注：抽样时以最小独立包装为抽样单元，样品数满足上述抽样数量。</w:t>
            </w:r>
          </w:p>
        </w:tc>
      </w:tr>
    </w:tbl>
    <w:p>
      <w:pPr>
        <w:snapToGrid w:val="0"/>
        <w:spacing w:line="440" w:lineRule="exact"/>
        <w:rPr>
          <w:szCs w:val="21"/>
        </w:rPr>
      </w:pPr>
    </w:p>
    <w:p>
      <w:pPr>
        <w:snapToGrid w:val="0"/>
        <w:spacing w:line="440" w:lineRule="exact"/>
        <w:ind w:firstLine="420" w:firstLineChars="200"/>
        <w:jc w:val="center"/>
        <w:rPr>
          <w:rFonts w:ascii="Times New Roman" w:hAnsi="Times New Roman" w:cs="Times New Roman"/>
          <w:color w:val="000000"/>
          <w:szCs w:val="21"/>
        </w:rPr>
      </w:pPr>
      <w:r>
        <w:rPr>
          <w:rFonts w:hint="eastAsia" w:ascii="Times New Roman" w:hAnsi="Times New Roman" w:cs="Times New Roman"/>
          <w:color w:val="000000"/>
          <w:szCs w:val="21"/>
        </w:rPr>
        <w:t>表2：抽取学生书包样品数量</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4033"/>
        <w:gridCol w:w="1332"/>
        <w:gridCol w:w="1377"/>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blHeader/>
          <w:jc w:val="center"/>
        </w:trPr>
        <w:tc>
          <w:tcPr>
            <w:tcW w:w="971"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序号</w:t>
            </w:r>
          </w:p>
        </w:tc>
        <w:tc>
          <w:tcPr>
            <w:tcW w:w="4033"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产品名称</w:t>
            </w:r>
          </w:p>
        </w:tc>
        <w:tc>
          <w:tcPr>
            <w:tcW w:w="1332"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抽样数量</w:t>
            </w:r>
          </w:p>
        </w:tc>
        <w:tc>
          <w:tcPr>
            <w:tcW w:w="1377"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检验</w:t>
            </w:r>
            <w:r>
              <w:rPr>
                <w:rFonts w:hint="eastAsia" w:ascii="Times New Roman" w:hAnsi="Times New Roman" w:cs="Times New Roman"/>
                <w:color w:val="000000"/>
                <w:szCs w:val="21"/>
              </w:rPr>
              <w:t>用样品</w:t>
            </w:r>
            <w:r>
              <w:rPr>
                <w:rFonts w:ascii="Times New Roman" w:hAnsi="Times New Roman" w:cs="Times New Roman"/>
                <w:color w:val="000000"/>
                <w:szCs w:val="21"/>
              </w:rPr>
              <w:t>数量</w:t>
            </w:r>
          </w:p>
        </w:tc>
        <w:tc>
          <w:tcPr>
            <w:tcW w:w="1347" w:type="dxa"/>
            <w:vAlign w:val="center"/>
          </w:tcPr>
          <w:p>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备用样品</w:t>
            </w:r>
          </w:p>
          <w:p>
            <w:pPr>
              <w:snapToGrid w:val="0"/>
              <w:jc w:val="center"/>
              <w:rPr>
                <w:rFonts w:ascii="Times New Roman" w:hAnsi="Times New Roman" w:cs="Times New Roman"/>
                <w:color w:val="000000"/>
                <w:szCs w:val="21"/>
              </w:rPr>
            </w:pPr>
            <w:r>
              <w:rPr>
                <w:rFonts w:ascii="Times New Roman" w:hAnsi="Times New Roman" w:cs="Times New Roman"/>
                <w:color w:val="00000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971"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4033"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笔袋</w:t>
            </w:r>
          </w:p>
        </w:tc>
        <w:tc>
          <w:tcPr>
            <w:tcW w:w="1332"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3个</w:t>
            </w:r>
          </w:p>
        </w:tc>
        <w:tc>
          <w:tcPr>
            <w:tcW w:w="1377"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2个</w:t>
            </w:r>
          </w:p>
        </w:tc>
        <w:tc>
          <w:tcPr>
            <w:tcW w:w="1347"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971" w:type="dxa"/>
            <w:vAlign w:val="center"/>
          </w:tcPr>
          <w:p>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2</w:t>
            </w:r>
          </w:p>
        </w:tc>
        <w:tc>
          <w:tcPr>
            <w:tcW w:w="4033"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书包</w:t>
            </w:r>
          </w:p>
        </w:tc>
        <w:tc>
          <w:tcPr>
            <w:tcW w:w="1332" w:type="dxa"/>
            <w:vAlign w:val="center"/>
          </w:tcPr>
          <w:p>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3</w:t>
            </w:r>
            <w:r>
              <w:rPr>
                <w:rFonts w:ascii="Times New Roman" w:hAnsi="Times New Roman" w:cs="Times New Roman"/>
                <w:color w:val="000000"/>
                <w:szCs w:val="21"/>
              </w:rPr>
              <w:t>个</w:t>
            </w:r>
          </w:p>
        </w:tc>
        <w:tc>
          <w:tcPr>
            <w:tcW w:w="1377" w:type="dxa"/>
            <w:vAlign w:val="center"/>
          </w:tcPr>
          <w:p>
            <w:pPr>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2</w:t>
            </w:r>
            <w:r>
              <w:rPr>
                <w:rFonts w:ascii="Times New Roman" w:hAnsi="Times New Roman" w:cs="Times New Roman"/>
                <w:color w:val="000000"/>
                <w:szCs w:val="21"/>
              </w:rPr>
              <w:t>个</w:t>
            </w:r>
          </w:p>
        </w:tc>
        <w:tc>
          <w:tcPr>
            <w:tcW w:w="1347" w:type="dxa"/>
            <w:vAlign w:val="center"/>
          </w:tcPr>
          <w:p>
            <w:pPr>
              <w:snapToGrid w:val="0"/>
              <w:jc w:val="center"/>
              <w:rPr>
                <w:rFonts w:ascii="Times New Roman" w:hAnsi="Times New Roman" w:cs="Times New Roman"/>
                <w:color w:val="000000"/>
                <w:szCs w:val="21"/>
              </w:rPr>
            </w:pPr>
            <w:r>
              <w:rPr>
                <w:rFonts w:ascii="Times New Roman" w:hAnsi="Times New Roman" w:cs="Times New Roman"/>
                <w:color w:val="000000"/>
                <w:szCs w:val="21"/>
              </w:rPr>
              <w:t>1个</w:t>
            </w:r>
          </w:p>
        </w:tc>
      </w:tr>
    </w:tbl>
    <w:p>
      <w:pPr>
        <w:snapToGrid w:val="0"/>
        <w:spacing w:line="440" w:lineRule="exact"/>
        <w:rPr>
          <w:rFonts w:ascii="Times New Roman" w:hAnsi="Times New Roman" w:eastAsia="黑体" w:cs="Times New Roman"/>
          <w:color w:val="000000"/>
          <w:szCs w:val="21"/>
        </w:rPr>
      </w:pPr>
    </w:p>
    <w:p>
      <w:pPr>
        <w:snapToGrid w:val="0"/>
        <w:spacing w:line="440" w:lineRule="exact"/>
        <w:rPr>
          <w:rFonts w:hint="eastAsia" w:eastAsia="宋体"/>
          <w:szCs w:val="21"/>
          <w:lang w:val="en-US" w:eastAsia="zh-CN"/>
        </w:rPr>
      </w:pPr>
      <w:r>
        <w:rPr>
          <w:rFonts w:ascii="Times New Roman" w:hAnsi="Times New Roman" w:eastAsia="黑体" w:cs="Times New Roman"/>
          <w:color w:val="000000"/>
          <w:szCs w:val="21"/>
        </w:rPr>
        <w:t>2 检验依据</w:t>
      </w:r>
    </w:p>
    <w:p>
      <w:pPr>
        <w:snapToGrid w:val="0"/>
        <w:spacing w:line="440" w:lineRule="exact"/>
        <w:jc w:val="left"/>
        <w:rPr>
          <w:rFonts w:hint="default" w:ascii="Times New Roman" w:hAnsi="Times New Roman" w:cs="Times New Roman"/>
          <w:szCs w:val="21"/>
        </w:rPr>
      </w:pPr>
      <w:r>
        <w:rPr>
          <w:rFonts w:hint="default" w:ascii="Times New Roman" w:hAnsi="Times New Roman" w:cs="Times New Roman"/>
          <w:szCs w:val="21"/>
        </w:rPr>
        <w:t>2.1学生文具检验依据如表3-表1</w:t>
      </w:r>
      <w:r>
        <w:rPr>
          <w:rFonts w:hint="eastAsia" w:ascii="Times New Roman" w:hAnsi="Times New Roman" w:cs="Times New Roman"/>
          <w:szCs w:val="21"/>
          <w:lang w:val="en-US" w:eastAsia="zh-CN"/>
        </w:rPr>
        <w:t>3</w:t>
      </w:r>
      <w:r>
        <w:rPr>
          <w:rFonts w:hint="default" w:ascii="Times New Roman" w:hAnsi="Times New Roman" w:cs="Times New Roman"/>
          <w:szCs w:val="21"/>
        </w:rPr>
        <w:t>：</w:t>
      </w:r>
    </w:p>
    <w:p>
      <w:pPr>
        <w:snapToGrid w:val="0"/>
        <w:spacing w:line="440" w:lineRule="exact"/>
        <w:jc w:val="center"/>
        <w:rPr>
          <w:rFonts w:hint="default" w:ascii="Times New Roman" w:hAnsi="Times New Roman" w:cs="Times New Roman"/>
          <w:sz w:val="24"/>
          <w:szCs w:val="21"/>
        </w:rPr>
      </w:pPr>
      <w:r>
        <w:rPr>
          <w:rFonts w:hint="default" w:ascii="Times New Roman" w:hAnsi="Times New Roman" w:cs="Times New Roman"/>
          <w:szCs w:val="21"/>
        </w:rPr>
        <w:t>表3 学生文具（美术用品）</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2653"/>
        <w:gridCol w:w="2785"/>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3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序号</w:t>
            </w:r>
          </w:p>
        </w:tc>
        <w:tc>
          <w:tcPr>
            <w:tcW w:w="265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检验项目</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r>
              <w:rPr>
                <w:rFonts w:hint="eastAsia" w:ascii="Times New Roman" w:hAnsi="Times New Roman" w:cs="Times New Roman"/>
                <w:color w:val="000000"/>
                <w:szCs w:val="21"/>
              </w:rPr>
              <w:t>检验依据</w:t>
            </w:r>
          </w:p>
        </w:tc>
        <w:tc>
          <w:tcPr>
            <w:tcW w:w="278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3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2653"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szCs w:val="21"/>
              </w:rPr>
              <w:t>可迁移元素的限量</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3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2</w:t>
            </w:r>
          </w:p>
        </w:tc>
        <w:tc>
          <w:tcPr>
            <w:tcW w:w="2653"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szCs w:val="21"/>
              </w:rPr>
              <w:t>可触及的塑料件中邻苯二甲酸酯增塑剂的限量</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3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w:t>
            </w:r>
          </w:p>
        </w:tc>
        <w:tc>
          <w:tcPr>
            <w:tcW w:w="2653"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笔套安全</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21027—2020</w:t>
            </w:r>
          </w:p>
        </w:tc>
      </w:tr>
    </w:tbl>
    <w:p>
      <w:pPr>
        <w:snapToGrid w:val="0"/>
        <w:spacing w:line="440" w:lineRule="exact"/>
        <w:jc w:val="center"/>
        <w:rPr>
          <w:sz w:val="24"/>
          <w:szCs w:val="21"/>
        </w:rPr>
      </w:pPr>
    </w:p>
    <w:p>
      <w:pPr>
        <w:snapToGrid w:val="0"/>
        <w:spacing w:line="440" w:lineRule="exact"/>
        <w:jc w:val="center"/>
        <w:rPr>
          <w:sz w:val="24"/>
          <w:szCs w:val="21"/>
        </w:rPr>
      </w:pPr>
      <w:r>
        <w:rPr>
          <w:sz w:val="24"/>
          <w:szCs w:val="21"/>
        </w:rPr>
        <w:t>表</w:t>
      </w:r>
      <w:r>
        <w:rPr>
          <w:rFonts w:hint="default" w:ascii="Times New Roman" w:hAnsi="Times New Roman" w:cs="Times New Roman"/>
          <w:szCs w:val="21"/>
        </w:rPr>
        <w:t>4</w:t>
      </w:r>
      <w:r>
        <w:rPr>
          <w:szCs w:val="21"/>
        </w:rPr>
        <w:t xml:space="preserve"> 学生文具（书写笔）</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613"/>
        <w:gridCol w:w="2800"/>
        <w:gridCol w:w="2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序号</w:t>
            </w:r>
          </w:p>
        </w:tc>
        <w:tc>
          <w:tcPr>
            <w:tcW w:w="261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检验项目</w:t>
            </w:r>
          </w:p>
        </w:tc>
        <w:tc>
          <w:tcPr>
            <w:tcW w:w="280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r>
              <w:rPr>
                <w:rFonts w:hint="eastAsia" w:ascii="Times New Roman" w:hAnsi="Times New Roman" w:cs="Times New Roman"/>
                <w:color w:val="000000"/>
                <w:szCs w:val="21"/>
              </w:rPr>
              <w:t>检验依据</w:t>
            </w:r>
          </w:p>
        </w:tc>
        <w:tc>
          <w:tcPr>
            <w:tcW w:w="28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261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可迁移元素的限量</w:t>
            </w:r>
          </w:p>
        </w:tc>
        <w:tc>
          <w:tcPr>
            <w:tcW w:w="28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2</w:t>
            </w:r>
          </w:p>
        </w:tc>
        <w:tc>
          <w:tcPr>
            <w:tcW w:w="261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可触及的塑料件中邻苯二甲酸酯增塑剂的限量</w:t>
            </w:r>
          </w:p>
        </w:tc>
        <w:tc>
          <w:tcPr>
            <w:tcW w:w="28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w:t>
            </w:r>
          </w:p>
        </w:tc>
        <w:tc>
          <w:tcPr>
            <w:tcW w:w="261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笔套安全</w:t>
            </w:r>
          </w:p>
        </w:tc>
        <w:tc>
          <w:tcPr>
            <w:tcW w:w="28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21027—2020</w:t>
            </w:r>
          </w:p>
        </w:tc>
      </w:tr>
    </w:tbl>
    <w:p>
      <w:pPr>
        <w:snapToGrid w:val="0"/>
        <w:spacing w:line="440" w:lineRule="exact"/>
        <w:jc w:val="center"/>
        <w:rPr>
          <w:sz w:val="24"/>
          <w:szCs w:val="21"/>
        </w:rPr>
      </w:pPr>
    </w:p>
    <w:p>
      <w:pPr>
        <w:adjustRightInd w:val="0"/>
        <w:snapToGrid w:val="0"/>
        <w:spacing w:line="440" w:lineRule="exact"/>
        <w:jc w:val="center"/>
        <w:rPr>
          <w:rFonts w:hint="default" w:ascii="Times New Roman" w:hAnsi="Times New Roman" w:cs="Times New Roman"/>
          <w:szCs w:val="21"/>
        </w:rPr>
      </w:pPr>
      <w:r>
        <w:rPr>
          <w:szCs w:val="21"/>
        </w:rPr>
        <w:t>表</w:t>
      </w:r>
      <w:r>
        <w:rPr>
          <w:rFonts w:hint="default" w:ascii="Times New Roman" w:hAnsi="Times New Roman" w:cs="Times New Roman"/>
          <w:szCs w:val="21"/>
        </w:rPr>
        <w:t>5 学生文具（记号笔）</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2780"/>
        <w:gridCol w:w="2803"/>
        <w:gridCol w:w="2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7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7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可迁移元素的限量</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7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可触及的塑料件中邻苯二甲酸酯增塑剂的限量</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27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笔套安全</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21027—2020</w:t>
            </w:r>
          </w:p>
        </w:tc>
      </w:tr>
    </w:tbl>
    <w:p>
      <w:pPr>
        <w:snapToGrid w:val="0"/>
        <w:spacing w:line="440" w:lineRule="exact"/>
        <w:jc w:val="center"/>
        <w:rPr>
          <w:rFonts w:hint="default" w:ascii="Times New Roman" w:hAnsi="Times New Roman" w:cs="Times New Roman"/>
          <w:sz w:val="24"/>
          <w:szCs w:val="21"/>
        </w:rPr>
      </w:pPr>
    </w:p>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表6 学生文具（橡皮擦）</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2705"/>
        <w:gridCol w:w="2803"/>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74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7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80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7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可迁移元素的限量</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7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可触及的塑料件中邻苯二甲酸酯增塑剂的限量</w:t>
            </w:r>
          </w:p>
        </w:tc>
        <w:tc>
          <w:tcPr>
            <w:tcW w:w="28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bl>
    <w:p>
      <w:pPr>
        <w:snapToGrid w:val="0"/>
        <w:spacing w:line="440" w:lineRule="exact"/>
        <w:jc w:val="center"/>
        <w:rPr>
          <w:rFonts w:hint="default" w:ascii="Times New Roman" w:hAnsi="Times New Roman" w:cs="Times New Roman"/>
          <w:sz w:val="24"/>
          <w:szCs w:val="21"/>
        </w:rPr>
      </w:pPr>
    </w:p>
    <w:p>
      <w:pPr>
        <w:snapToGrid w:val="0"/>
        <w:spacing w:line="440" w:lineRule="exact"/>
        <w:jc w:val="center"/>
        <w:rPr>
          <w:rFonts w:hint="default" w:ascii="Times New Roman" w:hAnsi="Times New Roman" w:cs="Times New Roman"/>
          <w:sz w:val="24"/>
          <w:szCs w:val="21"/>
        </w:rPr>
      </w:pPr>
      <w:r>
        <w:rPr>
          <w:rFonts w:hint="default" w:ascii="Times New Roman" w:hAnsi="Times New Roman" w:cs="Times New Roman"/>
          <w:szCs w:val="21"/>
        </w:rPr>
        <w:t>表7 学生文具（涂改制品）</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658"/>
        <w:gridCol w:w="2807"/>
        <w:gridCol w:w="2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65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65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可迁移元素的限量</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65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bookmarkStart w:id="10" w:name="_Hlk128560253"/>
            <w:r>
              <w:rPr>
                <w:rFonts w:hint="default" w:ascii="Times New Roman" w:hAnsi="Times New Roman" w:cs="Times New Roman"/>
                <w:szCs w:val="21"/>
              </w:rPr>
              <w:t>苯的含量</w:t>
            </w:r>
            <w:bookmarkEnd w:id="10"/>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265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氯代烃</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GB/T 32613—2016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4</w:t>
            </w:r>
          </w:p>
        </w:tc>
        <w:tc>
          <w:tcPr>
            <w:tcW w:w="265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可触及的塑料件中邻苯二甲酸酯增塑剂的限量</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5</w:t>
            </w:r>
          </w:p>
        </w:tc>
        <w:tc>
          <w:tcPr>
            <w:tcW w:w="265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笔套安全</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8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 xml:space="preserve">GB 21027—2020 </w:t>
            </w:r>
          </w:p>
        </w:tc>
      </w:tr>
    </w:tbl>
    <w:p>
      <w:pPr>
        <w:snapToGrid w:val="0"/>
        <w:spacing w:line="440" w:lineRule="exact"/>
        <w:jc w:val="center"/>
        <w:rPr>
          <w:rFonts w:hint="default" w:ascii="Times New Roman" w:hAnsi="Times New Roman" w:cs="Times New Roman"/>
          <w:sz w:val="24"/>
          <w:szCs w:val="21"/>
        </w:rPr>
      </w:pPr>
    </w:p>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表8 学生文具（</w:t>
      </w:r>
      <w:bookmarkStart w:id="11" w:name="_Hlk128560280"/>
      <w:r>
        <w:rPr>
          <w:rFonts w:hint="default" w:ascii="Times New Roman" w:hAnsi="Times New Roman" w:cs="Times New Roman"/>
          <w:szCs w:val="21"/>
        </w:rPr>
        <w:t>胶黏剂</w:t>
      </w:r>
      <w:bookmarkEnd w:id="11"/>
      <w:r>
        <w:rPr>
          <w:rFonts w:hint="default" w:ascii="Times New Roman" w:hAnsi="Times New Roman" w:cs="Times New Roman"/>
          <w:szCs w:val="21"/>
        </w:rPr>
        <w:t>）</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823"/>
        <w:gridCol w:w="2769"/>
        <w:gridCol w:w="2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游离甲醛</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GB/T 32606—2016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bookmarkStart w:id="12" w:name="_Hlk128560291"/>
            <w:r>
              <w:rPr>
                <w:rFonts w:hint="default" w:ascii="Times New Roman" w:hAnsi="Times New Roman" w:cs="Times New Roman"/>
                <w:szCs w:val="21"/>
              </w:rPr>
              <w:t>苯</w:t>
            </w:r>
            <w:bookmarkEnd w:id="12"/>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bookmarkStart w:id="13" w:name="_Hlk128560299"/>
            <w:r>
              <w:rPr>
                <w:rFonts w:hint="default" w:ascii="Times New Roman" w:hAnsi="Times New Roman" w:cs="Times New Roman"/>
                <w:szCs w:val="21"/>
              </w:rPr>
              <w:t>甲苯+二甲苯</w:t>
            </w:r>
            <w:bookmarkEnd w:id="13"/>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4</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bookmarkStart w:id="14" w:name="_Hlk128560306"/>
            <w:r>
              <w:rPr>
                <w:rFonts w:hint="default" w:ascii="Times New Roman" w:hAnsi="Times New Roman" w:cs="Times New Roman"/>
                <w:szCs w:val="21"/>
              </w:rPr>
              <w:t>总挥发性有机物</w:t>
            </w:r>
            <w:bookmarkEnd w:id="14"/>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5</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丙烯酰胺</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EN 71—10:2005</w:t>
            </w:r>
          </w:p>
          <w:p>
            <w:pPr>
              <w:jc w:val="center"/>
              <w:rPr>
                <w:rFonts w:hint="default" w:ascii="Times New Roman" w:hAnsi="Times New Roman" w:cs="Times New Roman"/>
                <w:szCs w:val="21"/>
              </w:rPr>
            </w:pPr>
            <w:r>
              <w:rPr>
                <w:rFonts w:hint="default" w:ascii="Times New Roman" w:hAnsi="Times New Roman" w:cs="Times New Roman"/>
                <w:szCs w:val="21"/>
              </w:rPr>
              <w:t>EN 71—11:2005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6</w:t>
            </w:r>
          </w:p>
        </w:tc>
        <w:tc>
          <w:tcPr>
            <w:tcW w:w="282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可触及的塑料件中邻苯二甲酸酯增塑剂的限量</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kern w:val="0"/>
                <w:szCs w:val="21"/>
              </w:rPr>
            </w:pPr>
            <w:r>
              <w:rPr>
                <w:rFonts w:hint="default" w:ascii="Times New Roman" w:hAnsi="Times New Roman" w:cs="Times New Roman"/>
                <w:color w:val="000000"/>
                <w:szCs w:val="21"/>
              </w:rPr>
              <w:t>GB 21027—2020</w:t>
            </w:r>
          </w:p>
        </w:tc>
        <w:tc>
          <w:tcPr>
            <w:tcW w:w="27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bl>
    <w:p>
      <w:pPr>
        <w:spacing w:line="460" w:lineRule="exact"/>
        <w:rPr>
          <w:rFonts w:hint="default" w:ascii="Times New Roman" w:hAnsi="Times New Roman" w:eastAsia="黑体" w:cs="Times New Roman"/>
          <w:sz w:val="24"/>
        </w:rPr>
      </w:pPr>
    </w:p>
    <w:p>
      <w:pPr>
        <w:snapToGrid w:val="0"/>
        <w:spacing w:line="440" w:lineRule="exact"/>
        <w:jc w:val="center"/>
        <w:rPr>
          <w:rFonts w:hint="default" w:ascii="Times New Roman" w:hAnsi="Times New Roman" w:cs="Times New Roman"/>
          <w:sz w:val="24"/>
          <w:szCs w:val="21"/>
        </w:rPr>
      </w:pPr>
      <w:r>
        <w:rPr>
          <w:rFonts w:hint="default" w:ascii="Times New Roman" w:hAnsi="Times New Roman" w:cs="Times New Roman"/>
          <w:szCs w:val="21"/>
        </w:rPr>
        <w:t>表9 学生文具（笔袋）</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794"/>
        <w:gridCol w:w="2787"/>
        <w:gridCol w:w="2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6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7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7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79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可迁移元素的限量</w:t>
            </w:r>
          </w:p>
        </w:tc>
        <w:tc>
          <w:tcPr>
            <w:tcW w:w="27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79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游离甲醛含量</w:t>
            </w:r>
          </w:p>
        </w:tc>
        <w:tc>
          <w:tcPr>
            <w:tcW w:w="27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GB/T 32606—2016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279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可分解有害芳香胺染料</w:t>
            </w:r>
          </w:p>
        </w:tc>
        <w:tc>
          <w:tcPr>
            <w:tcW w:w="27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bookmarkStart w:id="15" w:name="OLE_LINK1"/>
            <w:r>
              <w:rPr>
                <w:rFonts w:hint="default" w:ascii="Times New Roman" w:hAnsi="Times New Roman" w:cs="Times New Roman"/>
                <w:szCs w:val="21"/>
              </w:rPr>
              <w:t>GB/T 17592</w:t>
            </w:r>
            <w:bookmarkEnd w:id="15"/>
            <w:r>
              <w:rPr>
                <w:rFonts w:hint="default" w:ascii="Times New Roman" w:hAnsi="Times New Roman" w:cs="Times New Roman"/>
                <w:szCs w:val="21"/>
              </w:rPr>
              <w:t>—20</w:t>
            </w:r>
            <w:r>
              <w:rPr>
                <w:rFonts w:hint="default" w:ascii="Times New Roman" w:hAnsi="Times New Roman" w:cs="Times New Roman"/>
                <w:szCs w:val="21"/>
                <w:lang w:val="en-US" w:eastAsia="zh-CN"/>
              </w:rPr>
              <w:t>24</w:t>
            </w:r>
          </w:p>
          <w:p>
            <w:pPr>
              <w:jc w:val="center"/>
              <w:rPr>
                <w:rFonts w:hint="default" w:ascii="Times New Roman" w:hAnsi="Times New Roman" w:cs="Times New Roman"/>
                <w:szCs w:val="21"/>
              </w:rPr>
            </w:pPr>
            <w:r>
              <w:rPr>
                <w:rFonts w:hint="default" w:ascii="Times New Roman" w:hAnsi="Times New Roman" w:cs="Times New Roman"/>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4</w:t>
            </w:r>
          </w:p>
        </w:tc>
        <w:tc>
          <w:tcPr>
            <w:tcW w:w="279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可触及的塑料件中邻苯二甲酸酯增塑剂的限量</w:t>
            </w:r>
          </w:p>
        </w:tc>
        <w:tc>
          <w:tcPr>
            <w:tcW w:w="27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bl>
    <w:p>
      <w:pPr>
        <w:snapToGrid w:val="0"/>
        <w:spacing w:line="440" w:lineRule="exact"/>
        <w:jc w:val="center"/>
        <w:rPr>
          <w:rFonts w:hint="default" w:ascii="Times New Roman" w:hAnsi="Times New Roman" w:cs="Times New Roman"/>
          <w:sz w:val="24"/>
          <w:szCs w:val="21"/>
        </w:rPr>
      </w:pPr>
    </w:p>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表10 学生文具（卷削类文具、绘图仪尺、学生圆规、文具盒）</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749"/>
        <w:gridCol w:w="2723"/>
        <w:gridCol w:w="2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864"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749"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723"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724"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2749"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可迁移元素的限量</w:t>
            </w:r>
          </w:p>
        </w:tc>
        <w:tc>
          <w:tcPr>
            <w:tcW w:w="2723"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2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2749"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可触及的塑料件中邻苯二甲酸酯增塑剂的限量</w:t>
            </w:r>
          </w:p>
        </w:tc>
        <w:tc>
          <w:tcPr>
            <w:tcW w:w="2723"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2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64"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2749"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边缘、尖端</w:t>
            </w:r>
          </w:p>
        </w:tc>
        <w:tc>
          <w:tcPr>
            <w:tcW w:w="2723"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724"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 6675.2—2014</w:t>
            </w:r>
            <w:r>
              <w:rPr>
                <w:rFonts w:hint="default" w:ascii="Times New Roman" w:hAnsi="Times New Roman" w:cs="Times New Roman"/>
                <w:color w:val="000000"/>
                <w:szCs w:val="21"/>
              </w:rPr>
              <w:t>（</w:t>
            </w:r>
            <w:r>
              <w:rPr>
                <w:rFonts w:hint="default" w:ascii="Times New Roman" w:hAnsi="Times New Roman" w:cs="Times New Roman"/>
                <w:szCs w:val="21"/>
              </w:rPr>
              <w:t>含</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第1号修改单</w:t>
            </w:r>
            <w:r>
              <w:rPr>
                <w:rFonts w:hint="default" w:ascii="Times New Roman" w:hAnsi="Times New Roman" w:cs="Times New Roman"/>
                <w:color w:val="000000"/>
                <w:szCs w:val="21"/>
              </w:rPr>
              <w:t>）</w:t>
            </w:r>
          </w:p>
        </w:tc>
      </w:tr>
    </w:tbl>
    <w:p>
      <w:pPr>
        <w:adjustRightInd w:val="0"/>
        <w:snapToGrid w:val="0"/>
        <w:spacing w:line="440" w:lineRule="exact"/>
        <w:jc w:val="center"/>
        <w:rPr>
          <w:rFonts w:hint="default" w:ascii="Times New Roman" w:hAnsi="Times New Roman" w:cs="Times New Roman"/>
          <w:szCs w:val="21"/>
        </w:rPr>
      </w:pPr>
    </w:p>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表11 学生文具（课业簿册）</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861"/>
        <w:gridCol w:w="2682"/>
        <w:gridCol w:w="2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83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8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682" w:type="dxa"/>
            <w:tcBorders>
              <w:top w:val="single" w:color="auto" w:sz="4" w:space="0"/>
              <w:left w:val="single" w:color="auto" w:sz="4" w:space="0"/>
              <w:bottom w:val="single" w:color="auto" w:sz="4" w:space="0"/>
              <w:right w:val="single" w:color="auto" w:sz="4" w:space="0"/>
            </w:tcBorders>
            <w:vAlign w:val="top"/>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6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8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可迁移元素的限量</w:t>
            </w:r>
          </w:p>
        </w:tc>
        <w:tc>
          <w:tcPr>
            <w:tcW w:w="268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6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 xml:space="preserve">GB 6675.4—2014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8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D</w:t>
            </w:r>
            <w:r>
              <w:rPr>
                <w:rFonts w:hint="default" w:ascii="Times New Roman" w:hAnsi="Times New Roman" w:cs="Times New Roman"/>
                <w:szCs w:val="21"/>
                <w:vertAlign w:val="subscript"/>
              </w:rPr>
              <w:t>65</w:t>
            </w:r>
            <w:r>
              <w:rPr>
                <w:rFonts w:hint="default" w:ascii="Times New Roman" w:hAnsi="Times New Roman" w:cs="Times New Roman"/>
                <w:szCs w:val="21"/>
              </w:rPr>
              <w:t>亮度</w:t>
            </w:r>
          </w:p>
        </w:tc>
        <w:tc>
          <w:tcPr>
            <w:tcW w:w="268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40070—2021</w:t>
            </w:r>
          </w:p>
        </w:tc>
        <w:tc>
          <w:tcPr>
            <w:tcW w:w="26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GB/T 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28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D</w:t>
            </w:r>
            <w:r>
              <w:rPr>
                <w:rFonts w:hint="default" w:ascii="Times New Roman" w:hAnsi="Times New Roman" w:cs="Times New Roman"/>
                <w:szCs w:val="21"/>
                <w:vertAlign w:val="subscript"/>
              </w:rPr>
              <w:t>65</w:t>
            </w:r>
            <w:r>
              <w:rPr>
                <w:rFonts w:hint="default" w:ascii="Times New Roman" w:hAnsi="Times New Roman" w:cs="Times New Roman"/>
                <w:szCs w:val="21"/>
              </w:rPr>
              <w:t>荧光亮度</w:t>
            </w:r>
          </w:p>
        </w:tc>
        <w:tc>
          <w:tcPr>
            <w:tcW w:w="268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40070—2021</w:t>
            </w:r>
          </w:p>
        </w:tc>
        <w:tc>
          <w:tcPr>
            <w:tcW w:w="268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Cs w:val="21"/>
              </w:rPr>
            </w:pPr>
            <w:r>
              <w:rPr>
                <w:rFonts w:hint="default" w:ascii="Times New Roman" w:hAnsi="Times New Roman" w:cs="Times New Roman"/>
                <w:szCs w:val="21"/>
              </w:rPr>
              <w:t>GB/T 7974—2013</w:t>
            </w:r>
          </w:p>
        </w:tc>
      </w:tr>
    </w:tbl>
    <w:p>
      <w:pPr>
        <w:spacing w:line="460" w:lineRule="exact"/>
        <w:rPr>
          <w:rFonts w:hint="default" w:ascii="Times New Roman" w:hAnsi="Times New Roman" w:eastAsia="黑体" w:cs="Times New Roman"/>
          <w:sz w:val="24"/>
        </w:rPr>
      </w:pPr>
    </w:p>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表12 学生文具（书套）</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849"/>
        <w:gridCol w:w="2682"/>
        <w:gridCol w:w="2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46"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849"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682"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683"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46"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2849"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可迁移元素的限量</w:t>
            </w:r>
          </w:p>
        </w:tc>
        <w:tc>
          <w:tcPr>
            <w:tcW w:w="2682"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683"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46"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2849"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可触及的塑料件中邻苯二甲酸酯增塑剂的限量</w:t>
            </w:r>
          </w:p>
        </w:tc>
        <w:tc>
          <w:tcPr>
            <w:tcW w:w="2682"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683"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bl>
    <w:p>
      <w:pPr>
        <w:spacing w:line="460" w:lineRule="exact"/>
        <w:rPr>
          <w:rFonts w:hint="default" w:ascii="Times New Roman" w:hAnsi="Times New Roman" w:eastAsia="黑体" w:cs="Times New Roman"/>
          <w:sz w:val="24"/>
        </w:rPr>
      </w:pPr>
    </w:p>
    <w:p>
      <w:pPr>
        <w:snapToGrid w:val="0"/>
        <w:spacing w:line="440" w:lineRule="exact"/>
        <w:jc w:val="center"/>
        <w:rPr>
          <w:rFonts w:hint="default" w:ascii="Times New Roman" w:hAnsi="Times New Roman" w:cs="Times New Roman"/>
          <w:sz w:val="24"/>
          <w:szCs w:val="21"/>
        </w:rPr>
      </w:pPr>
      <w:r>
        <w:rPr>
          <w:rFonts w:hint="default" w:ascii="Times New Roman" w:hAnsi="Times New Roman" w:cs="Times New Roman"/>
          <w:szCs w:val="21"/>
        </w:rPr>
        <w:t>表13 学生文具（彩泥）</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2896"/>
        <w:gridCol w:w="2631"/>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02"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896"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631"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631" w:type="dxa"/>
            <w:vAlign w:val="top"/>
          </w:tcPr>
          <w:p>
            <w:pPr>
              <w:adjustRightInd w:val="0"/>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02"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2896"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可迁移元素的限量</w:t>
            </w:r>
          </w:p>
        </w:tc>
        <w:tc>
          <w:tcPr>
            <w:tcW w:w="2631"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6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02"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2896"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可触及的塑料件中邻苯二甲酸酯增塑剂的限量</w:t>
            </w:r>
          </w:p>
        </w:tc>
        <w:tc>
          <w:tcPr>
            <w:tcW w:w="2631"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6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kern w:val="0"/>
                <w:szCs w:val="21"/>
              </w:rPr>
              <w:t>GB/T 22048</w:t>
            </w:r>
            <w:r>
              <w:rPr>
                <w:rFonts w:hint="default" w:ascii="Times New Roman" w:hAnsi="Times New Roman" w:cs="Times New Roman"/>
                <w:szCs w:val="21"/>
              </w:rPr>
              <w:t>—</w:t>
            </w:r>
            <w:r>
              <w:rPr>
                <w:rFonts w:hint="default" w:ascii="Times New Roman" w:hAnsi="Times New Roman" w:cs="Times New Roman"/>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02"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2896"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游离甲醛的限量</w:t>
            </w:r>
          </w:p>
        </w:tc>
        <w:tc>
          <w:tcPr>
            <w:tcW w:w="26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color w:val="000000"/>
                <w:szCs w:val="21"/>
              </w:rPr>
              <w:t>GB 21027—2020</w:t>
            </w:r>
          </w:p>
        </w:tc>
        <w:tc>
          <w:tcPr>
            <w:tcW w:w="26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32606—2016</w:t>
            </w:r>
          </w:p>
        </w:tc>
      </w:tr>
    </w:tbl>
    <w:p>
      <w:pPr>
        <w:adjustRightInd w:val="0"/>
        <w:snapToGrid w:val="0"/>
        <w:spacing w:line="440" w:lineRule="exact"/>
        <w:jc w:val="left"/>
        <w:rPr>
          <w:rFonts w:hint="default" w:ascii="Times New Roman" w:hAnsi="Times New Roman" w:cs="Times New Roman"/>
          <w:szCs w:val="21"/>
        </w:rPr>
      </w:pPr>
    </w:p>
    <w:p>
      <w:pPr>
        <w:adjustRightInd w:val="0"/>
        <w:snapToGrid w:val="0"/>
        <w:spacing w:line="440" w:lineRule="exact"/>
        <w:jc w:val="left"/>
        <w:rPr>
          <w:rFonts w:hint="default" w:ascii="Times New Roman" w:hAnsi="Times New Roman" w:cs="Times New Roman"/>
          <w:szCs w:val="21"/>
        </w:rPr>
      </w:pPr>
    </w:p>
    <w:p>
      <w:pPr>
        <w:adjustRightInd w:val="0"/>
        <w:snapToGrid w:val="0"/>
        <w:spacing w:line="440" w:lineRule="exact"/>
        <w:jc w:val="left"/>
        <w:rPr>
          <w:rFonts w:hint="default" w:ascii="Times New Roman" w:hAnsi="Times New Roman" w:cs="Times New Roman"/>
          <w:szCs w:val="21"/>
        </w:rPr>
      </w:pPr>
    </w:p>
    <w:p>
      <w:pPr>
        <w:adjustRightInd w:val="0"/>
        <w:snapToGrid w:val="0"/>
        <w:spacing w:line="440" w:lineRule="exact"/>
        <w:jc w:val="left"/>
        <w:rPr>
          <w:rFonts w:hint="default" w:ascii="Times New Roman" w:hAnsi="Times New Roman" w:cs="Times New Roman"/>
          <w:color w:val="000000"/>
          <w:szCs w:val="21"/>
        </w:rPr>
      </w:pPr>
      <w:r>
        <w:rPr>
          <w:rFonts w:hint="default" w:ascii="Times New Roman" w:hAnsi="Times New Roman" w:cs="Times New Roman"/>
          <w:szCs w:val="21"/>
        </w:rPr>
        <w:t>2.2学生书包检验依据如表14-表15：</w:t>
      </w:r>
    </w:p>
    <w:p>
      <w:pPr>
        <w:adjustRightInd w:val="0"/>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表14 学生书袋</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872"/>
        <w:gridCol w:w="1531"/>
        <w:gridCol w:w="2439"/>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3403" w:type="dxa"/>
            <w:gridSpan w:val="2"/>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43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439"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1</w:t>
            </w:r>
          </w:p>
        </w:tc>
        <w:tc>
          <w:tcPr>
            <w:tcW w:w="3403" w:type="dxa"/>
            <w:gridSpan w:val="2"/>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负重</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2</w:t>
            </w:r>
          </w:p>
        </w:tc>
        <w:tc>
          <w:tcPr>
            <w:tcW w:w="3403" w:type="dxa"/>
            <w:gridSpan w:val="2"/>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缝合强度</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Merge w:val="restar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1872"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旅行式拉杆书袋滑轮和拉杆</w:t>
            </w:r>
          </w:p>
        </w:tc>
        <w:tc>
          <w:tcPr>
            <w:tcW w:w="15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拉杆长度</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QB/T 2858—2007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Merge w:val="continue"/>
            <w:vAlign w:val="center"/>
          </w:tcPr>
          <w:p>
            <w:pPr>
              <w:adjustRightInd w:val="0"/>
              <w:snapToGrid w:val="0"/>
              <w:jc w:val="center"/>
              <w:rPr>
                <w:rFonts w:hint="default" w:ascii="Times New Roman" w:hAnsi="Times New Roman" w:cs="Times New Roman"/>
                <w:color w:val="000000"/>
                <w:szCs w:val="21"/>
                <w:highlight w:val="yellow"/>
              </w:rPr>
            </w:pPr>
          </w:p>
        </w:tc>
        <w:tc>
          <w:tcPr>
            <w:tcW w:w="1872" w:type="dxa"/>
            <w:vMerge w:val="continue"/>
            <w:vAlign w:val="center"/>
          </w:tcPr>
          <w:p>
            <w:pPr>
              <w:adjustRightInd w:val="0"/>
              <w:snapToGrid w:val="0"/>
              <w:jc w:val="center"/>
              <w:rPr>
                <w:rFonts w:hint="default" w:ascii="Times New Roman" w:hAnsi="Times New Roman" w:cs="Times New Roman"/>
                <w:szCs w:val="21"/>
                <w:highlight w:val="yellow"/>
              </w:rPr>
            </w:pPr>
          </w:p>
        </w:tc>
        <w:tc>
          <w:tcPr>
            <w:tcW w:w="15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拉杆形状</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Merge w:val="continue"/>
            <w:vAlign w:val="center"/>
          </w:tcPr>
          <w:p>
            <w:pPr>
              <w:adjustRightInd w:val="0"/>
              <w:snapToGrid w:val="0"/>
              <w:jc w:val="center"/>
              <w:rPr>
                <w:rFonts w:hint="default" w:ascii="Times New Roman" w:hAnsi="Times New Roman" w:cs="Times New Roman"/>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Merge w:val="continue"/>
            <w:vAlign w:val="center"/>
          </w:tcPr>
          <w:p>
            <w:pPr>
              <w:adjustRightInd w:val="0"/>
              <w:snapToGrid w:val="0"/>
              <w:jc w:val="center"/>
              <w:rPr>
                <w:rFonts w:hint="default" w:ascii="Times New Roman" w:hAnsi="Times New Roman" w:cs="Times New Roman"/>
                <w:szCs w:val="21"/>
                <w:highlight w:val="yellow"/>
              </w:rPr>
            </w:pPr>
          </w:p>
        </w:tc>
        <w:tc>
          <w:tcPr>
            <w:tcW w:w="1872" w:type="dxa"/>
            <w:vMerge w:val="continue"/>
            <w:vAlign w:val="center"/>
          </w:tcPr>
          <w:p>
            <w:pPr>
              <w:adjustRightInd w:val="0"/>
              <w:snapToGrid w:val="0"/>
              <w:jc w:val="center"/>
              <w:rPr>
                <w:rFonts w:hint="default" w:ascii="Times New Roman" w:hAnsi="Times New Roman" w:cs="Times New Roman"/>
                <w:szCs w:val="21"/>
                <w:highlight w:val="yellow"/>
              </w:rPr>
            </w:pPr>
          </w:p>
        </w:tc>
        <w:tc>
          <w:tcPr>
            <w:tcW w:w="15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护脊装置</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Merge w:val="continue"/>
            <w:vAlign w:val="center"/>
          </w:tcPr>
          <w:p>
            <w:pPr>
              <w:adjustRightInd w:val="0"/>
              <w:snapToGrid w:val="0"/>
              <w:jc w:val="center"/>
              <w:rPr>
                <w:rFonts w:hint="default" w:ascii="Times New Roman" w:hAnsi="Times New Roman" w:cs="Times New Roman"/>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Merge w:val="continue"/>
            <w:vAlign w:val="center"/>
          </w:tcPr>
          <w:p>
            <w:pPr>
              <w:adjustRightInd w:val="0"/>
              <w:snapToGrid w:val="0"/>
              <w:jc w:val="center"/>
              <w:rPr>
                <w:rFonts w:hint="default" w:ascii="Times New Roman" w:hAnsi="Times New Roman" w:cs="Times New Roman"/>
                <w:color w:val="000000"/>
                <w:szCs w:val="21"/>
                <w:highlight w:val="yellow"/>
              </w:rPr>
            </w:pPr>
          </w:p>
        </w:tc>
        <w:tc>
          <w:tcPr>
            <w:tcW w:w="1872" w:type="dxa"/>
            <w:vMerge w:val="continue"/>
            <w:vAlign w:val="center"/>
          </w:tcPr>
          <w:p>
            <w:pPr>
              <w:adjustRightInd w:val="0"/>
              <w:snapToGrid w:val="0"/>
              <w:jc w:val="center"/>
              <w:rPr>
                <w:rFonts w:hint="default" w:ascii="Times New Roman" w:hAnsi="Times New Roman" w:cs="Times New Roman"/>
                <w:szCs w:val="21"/>
                <w:highlight w:val="yellow"/>
              </w:rPr>
            </w:pPr>
          </w:p>
        </w:tc>
        <w:tc>
          <w:tcPr>
            <w:tcW w:w="15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可靠性</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Merge w:val="continue"/>
            <w:vAlign w:val="center"/>
          </w:tcPr>
          <w:p>
            <w:pPr>
              <w:adjustRightInd w:val="0"/>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1872"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背带类书袋的性能</w:t>
            </w:r>
          </w:p>
        </w:tc>
        <w:tc>
          <w:tcPr>
            <w:tcW w:w="15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舒适度</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QB/T 2858—2007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Merge w:val="continue"/>
            <w:vAlign w:val="center"/>
          </w:tcPr>
          <w:p>
            <w:pPr>
              <w:adjustRightInd w:val="0"/>
              <w:snapToGrid w:val="0"/>
              <w:jc w:val="center"/>
              <w:rPr>
                <w:rFonts w:hint="default" w:ascii="Times New Roman" w:hAnsi="Times New Roman" w:cs="Times New Roman"/>
                <w:color w:val="000000"/>
                <w:szCs w:val="21"/>
              </w:rPr>
            </w:pPr>
          </w:p>
        </w:tc>
        <w:tc>
          <w:tcPr>
            <w:tcW w:w="1872" w:type="dxa"/>
            <w:vMerge w:val="continue"/>
            <w:vAlign w:val="center"/>
          </w:tcPr>
          <w:p>
            <w:pPr>
              <w:adjustRightInd w:val="0"/>
              <w:snapToGrid w:val="0"/>
              <w:jc w:val="center"/>
              <w:rPr>
                <w:rFonts w:hint="default" w:ascii="Times New Roman" w:hAnsi="Times New Roman" w:cs="Times New Roman"/>
                <w:szCs w:val="21"/>
              </w:rPr>
            </w:pPr>
          </w:p>
        </w:tc>
        <w:tc>
          <w:tcPr>
            <w:tcW w:w="15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书袋带</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Merge w:val="continue"/>
            <w:vAlign w:val="center"/>
          </w:tcPr>
          <w:p>
            <w:pPr>
              <w:adjustRightInd w:val="0"/>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Merge w:val="continue"/>
            <w:vAlign w:val="center"/>
          </w:tcPr>
          <w:p>
            <w:pPr>
              <w:adjustRightInd w:val="0"/>
              <w:snapToGrid w:val="0"/>
              <w:jc w:val="center"/>
              <w:rPr>
                <w:rFonts w:hint="default" w:ascii="Times New Roman" w:hAnsi="Times New Roman" w:cs="Times New Roman"/>
                <w:szCs w:val="21"/>
              </w:rPr>
            </w:pPr>
          </w:p>
        </w:tc>
        <w:tc>
          <w:tcPr>
            <w:tcW w:w="1872" w:type="dxa"/>
            <w:vMerge w:val="continue"/>
            <w:vAlign w:val="center"/>
          </w:tcPr>
          <w:p>
            <w:pPr>
              <w:adjustRightInd w:val="0"/>
              <w:snapToGrid w:val="0"/>
              <w:jc w:val="center"/>
              <w:rPr>
                <w:rFonts w:hint="default" w:ascii="Times New Roman" w:hAnsi="Times New Roman" w:cs="Times New Roman"/>
                <w:szCs w:val="21"/>
              </w:rPr>
            </w:pPr>
          </w:p>
        </w:tc>
        <w:tc>
          <w:tcPr>
            <w:tcW w:w="1531"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提把</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1"/>
              </w:rPr>
              <w:t>QB/T 2858—2007</w:t>
            </w:r>
          </w:p>
        </w:tc>
        <w:tc>
          <w:tcPr>
            <w:tcW w:w="2439" w:type="dxa"/>
            <w:vMerge w:val="continue"/>
            <w:vAlign w:val="center"/>
          </w:tcPr>
          <w:p>
            <w:pPr>
              <w:adjustRightInd w:val="0"/>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3403" w:type="dxa"/>
            <w:gridSpan w:val="2"/>
            <w:vAlign w:val="center"/>
          </w:tcPr>
          <w:p>
            <w:pPr>
              <w:jc w:val="center"/>
              <w:rPr>
                <w:rFonts w:hint="default" w:ascii="Times New Roman" w:hAnsi="Times New Roman" w:cs="Times New Roman"/>
              </w:rPr>
            </w:pPr>
            <w:r>
              <w:rPr>
                <w:rFonts w:hint="default" w:ascii="Times New Roman" w:hAnsi="Times New Roman" w:cs="Times New Roman"/>
              </w:rPr>
              <w:t>可迁移元素的限量</w:t>
            </w:r>
          </w:p>
        </w:tc>
        <w:tc>
          <w:tcPr>
            <w:tcW w:w="243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43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3403" w:type="dxa"/>
            <w:gridSpan w:val="2"/>
            <w:vAlign w:val="center"/>
          </w:tcPr>
          <w:p>
            <w:pPr>
              <w:jc w:val="center"/>
              <w:rPr>
                <w:rFonts w:hint="default" w:ascii="Times New Roman" w:hAnsi="Times New Roman" w:cs="Times New Roman"/>
              </w:rPr>
            </w:pPr>
            <w:r>
              <w:rPr>
                <w:rFonts w:hint="default" w:ascii="Times New Roman" w:hAnsi="Times New Roman" w:cs="Times New Roman"/>
              </w:rPr>
              <w:t>游离甲醛含量</w:t>
            </w:r>
          </w:p>
        </w:tc>
        <w:tc>
          <w:tcPr>
            <w:tcW w:w="243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32606</w:t>
            </w:r>
            <w:r>
              <w:rPr>
                <w:rFonts w:hint="default" w:ascii="Times New Roman" w:hAnsi="Times New Roman" w:cs="Times New Roman"/>
                <w:szCs w:val="21"/>
              </w:rPr>
              <w:t>—</w:t>
            </w:r>
            <w:r>
              <w:rPr>
                <w:rFonts w:hint="default" w:ascii="Times New Roman" w:hAnsi="Times New Roman" w:cs="Times New Roman"/>
                <w:color w:val="000000"/>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3403" w:type="dxa"/>
            <w:gridSpan w:val="2"/>
            <w:vAlign w:val="center"/>
          </w:tcPr>
          <w:p>
            <w:pPr>
              <w:jc w:val="center"/>
              <w:rPr>
                <w:rFonts w:hint="default" w:ascii="Times New Roman" w:hAnsi="Times New Roman" w:cs="Times New Roman"/>
              </w:rPr>
            </w:pPr>
            <w:r>
              <w:rPr>
                <w:rFonts w:hint="default" w:ascii="Times New Roman" w:hAnsi="Times New Roman" w:cs="Times New Roman"/>
              </w:rPr>
              <w:t>可分解有害芳香胺染料</w:t>
            </w:r>
          </w:p>
        </w:tc>
        <w:tc>
          <w:tcPr>
            <w:tcW w:w="243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439" w:type="dxa"/>
            <w:vAlign w:val="center"/>
          </w:tcPr>
          <w:p>
            <w:pPr>
              <w:adjustRightInd w:val="0"/>
              <w:snapToGrid w:val="0"/>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rPr>
              <w:t>GB/T 17592</w:t>
            </w:r>
            <w:r>
              <w:rPr>
                <w:rFonts w:hint="default" w:ascii="Times New Roman" w:hAnsi="Times New Roman" w:cs="Times New Roman"/>
                <w:szCs w:val="21"/>
              </w:rPr>
              <w:t>—</w:t>
            </w:r>
            <w:r>
              <w:rPr>
                <w:rFonts w:hint="default" w:ascii="Times New Roman" w:hAnsi="Times New Roman" w:cs="Times New Roman"/>
                <w:color w:val="000000"/>
                <w:szCs w:val="21"/>
              </w:rPr>
              <w:t>20</w:t>
            </w:r>
            <w:r>
              <w:rPr>
                <w:rFonts w:hint="default" w:ascii="Times New Roman" w:hAnsi="Times New Roman" w:cs="Times New Roman"/>
                <w:color w:val="000000"/>
                <w:szCs w:val="21"/>
                <w:lang w:val="en-US" w:eastAsia="zh-CN"/>
              </w:rPr>
              <w:t>24</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23344</w:t>
            </w:r>
            <w:r>
              <w:rPr>
                <w:rFonts w:hint="default" w:ascii="Times New Roman" w:hAnsi="Times New Roman" w:cs="Times New Roman"/>
                <w:szCs w:val="21"/>
              </w:rPr>
              <w:t>—</w:t>
            </w:r>
            <w:r>
              <w:rPr>
                <w:rFonts w:hint="default" w:ascii="Times New Roman" w:hAnsi="Times New Roman" w:cs="Times New Roman"/>
                <w:color w:val="00000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3403" w:type="dxa"/>
            <w:gridSpan w:val="2"/>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可触及的塑料件中邻苯二甲酸酯</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增塑剂的限量</w:t>
            </w:r>
          </w:p>
        </w:tc>
        <w:tc>
          <w:tcPr>
            <w:tcW w:w="243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 21027—2020</w:t>
            </w:r>
          </w:p>
        </w:tc>
        <w:tc>
          <w:tcPr>
            <w:tcW w:w="2439" w:type="dxa"/>
            <w:vAlign w:val="center"/>
          </w:tcPr>
          <w:p>
            <w:pPr>
              <w:adjustRightInd w:val="0"/>
              <w:snapToGrid w:val="0"/>
              <w:jc w:val="center"/>
              <w:rPr>
                <w:rFonts w:hint="default" w:ascii="Times New Roman" w:hAnsi="Times New Roman" w:cs="Times New Roman"/>
                <w:color w:val="000000"/>
                <w:szCs w:val="21"/>
                <w:highlight w:val="yellow"/>
              </w:rPr>
            </w:pPr>
            <w:r>
              <w:rPr>
                <w:rFonts w:hint="default" w:ascii="Times New Roman" w:hAnsi="Times New Roman" w:cs="Times New Roman"/>
                <w:color w:val="000000"/>
                <w:szCs w:val="21"/>
              </w:rPr>
              <w:t>GB/T 22048</w:t>
            </w:r>
            <w:r>
              <w:rPr>
                <w:rFonts w:hint="default" w:ascii="Times New Roman" w:hAnsi="Times New Roman" w:cs="Times New Roman"/>
                <w:szCs w:val="21"/>
              </w:rPr>
              <w:t>—</w:t>
            </w:r>
            <w:r>
              <w:rPr>
                <w:rFonts w:hint="default" w:ascii="Times New Roman" w:hAnsi="Times New Roman" w:cs="Times New Roman"/>
                <w:color w:val="000000"/>
                <w:szCs w:val="21"/>
              </w:rPr>
              <w:t>2022</w:t>
            </w:r>
          </w:p>
        </w:tc>
      </w:tr>
    </w:tbl>
    <w:p>
      <w:pPr>
        <w:adjustRightInd w:val="0"/>
        <w:snapToGrid w:val="0"/>
        <w:spacing w:line="440" w:lineRule="exact"/>
        <w:rPr>
          <w:rFonts w:hint="default" w:ascii="Times New Roman" w:hAnsi="Times New Roman" w:eastAsia="黑体" w:cs="Times New Roman"/>
          <w:color w:val="000000"/>
          <w:szCs w:val="21"/>
        </w:rPr>
      </w:pPr>
    </w:p>
    <w:p>
      <w:pPr>
        <w:adjustRightInd w:val="0"/>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表15 学生书包（背提包）</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405"/>
        <w:gridCol w:w="2439"/>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777"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3405"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439" w:type="dxa"/>
            <w:vAlign w:val="top"/>
          </w:tcPr>
          <w:p>
            <w:pPr>
              <w:jc w:val="center"/>
              <w:rPr>
                <w:rFonts w:hint="default" w:ascii="Times New Roman" w:hAnsi="Times New Roman" w:cs="Times New Roman"/>
              </w:rPr>
            </w:pPr>
            <w:r>
              <w:rPr>
                <w:rFonts w:hint="default" w:ascii="Times New Roman" w:hAnsi="Times New Roman" w:cs="Times New Roman"/>
                <w:color w:val="000000"/>
                <w:szCs w:val="21"/>
              </w:rPr>
              <w:t>检验依据</w:t>
            </w:r>
          </w:p>
        </w:tc>
        <w:tc>
          <w:tcPr>
            <w:tcW w:w="2439"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jc w:val="center"/>
        </w:trPr>
        <w:tc>
          <w:tcPr>
            <w:tcW w:w="777"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3405" w:type="dxa"/>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振荡冲击性能</w:t>
            </w:r>
          </w:p>
        </w:tc>
        <w:tc>
          <w:tcPr>
            <w:tcW w:w="243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QB/T 1333-2018</w:t>
            </w:r>
          </w:p>
        </w:tc>
        <w:tc>
          <w:tcPr>
            <w:tcW w:w="243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QB/T 2922—2018</w:t>
            </w:r>
          </w:p>
          <w:p>
            <w:pPr>
              <w:snapToGrid w:val="0"/>
              <w:jc w:val="center"/>
              <w:rPr>
                <w:rFonts w:hint="default" w:ascii="Times New Roman" w:hAnsi="Times New Roman" w:cs="Times New Roman"/>
                <w:szCs w:val="21"/>
              </w:rPr>
            </w:pPr>
            <w:r>
              <w:rPr>
                <w:rFonts w:hint="default" w:ascii="Times New Roman" w:hAnsi="Times New Roman" w:cs="Times New Roman"/>
                <w:szCs w:val="21"/>
              </w:rPr>
              <w:t>QB/T 5083—2017</w:t>
            </w:r>
          </w:p>
          <w:p>
            <w:pPr>
              <w:snapToGrid w:val="0"/>
              <w:jc w:val="center"/>
              <w:rPr>
                <w:rFonts w:hint="default" w:ascii="Times New Roman" w:hAnsi="Times New Roman" w:cs="Times New Roman"/>
                <w:szCs w:val="21"/>
              </w:rPr>
            </w:pPr>
            <w:r>
              <w:rPr>
                <w:rFonts w:hint="default" w:ascii="Times New Roman" w:hAnsi="Times New Roman" w:cs="Times New Roman"/>
                <w:szCs w:val="21"/>
              </w:rPr>
              <w:t>QB/T 1333—2018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7"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3405" w:type="dxa"/>
            <w:vAlign w:val="center"/>
          </w:tcPr>
          <w:p>
            <w:pPr>
              <w:jc w:val="center"/>
              <w:rPr>
                <w:rFonts w:hint="default" w:ascii="Times New Roman" w:hAnsi="Times New Roman" w:cs="Times New Roman"/>
              </w:rPr>
            </w:pPr>
            <w:r>
              <w:rPr>
                <w:rFonts w:hint="default" w:ascii="Times New Roman" w:hAnsi="Times New Roman" w:cs="Times New Roman"/>
              </w:rPr>
              <w:t>缝合强度</w:t>
            </w:r>
          </w:p>
        </w:tc>
        <w:tc>
          <w:tcPr>
            <w:tcW w:w="243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QB/T 1333-2018</w:t>
            </w:r>
          </w:p>
        </w:tc>
        <w:tc>
          <w:tcPr>
            <w:tcW w:w="2439" w:type="dxa"/>
            <w:vAlign w:val="center"/>
          </w:tcPr>
          <w:p>
            <w:pPr>
              <w:adjustRightInd w:val="0"/>
              <w:snapToGrid w:val="0"/>
              <w:jc w:val="center"/>
              <w:rPr>
                <w:rFonts w:hint="default" w:ascii="Times New Roman" w:hAnsi="Times New Roman" w:cs="Times New Roman"/>
                <w:color w:val="000000"/>
                <w:szCs w:val="21"/>
                <w:highlight w:val="yellow"/>
              </w:rPr>
            </w:pPr>
            <w:r>
              <w:rPr>
                <w:rFonts w:hint="default" w:ascii="Times New Roman" w:hAnsi="Times New Roman" w:cs="Times New Roman"/>
                <w:color w:val="000000"/>
                <w:szCs w:val="21"/>
              </w:rPr>
              <w:t>QB/T 1333-2018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7"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3405" w:type="dxa"/>
            <w:vAlign w:val="center"/>
          </w:tcPr>
          <w:p>
            <w:pPr>
              <w:jc w:val="center"/>
              <w:rPr>
                <w:rFonts w:hint="default" w:ascii="Times New Roman" w:hAnsi="Times New Roman" w:cs="Times New Roman"/>
              </w:rPr>
            </w:pPr>
            <w:r>
              <w:rPr>
                <w:rFonts w:hint="default" w:ascii="Times New Roman" w:hAnsi="Times New Roman" w:cs="Times New Roman"/>
              </w:rPr>
              <w:t>可迁移元素的限量</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21027—2020</w:t>
            </w:r>
          </w:p>
        </w:tc>
        <w:tc>
          <w:tcPr>
            <w:tcW w:w="2439" w:type="dxa"/>
            <w:vAlign w:val="center"/>
          </w:tcPr>
          <w:p>
            <w:pPr>
              <w:adjustRightInd w:val="0"/>
              <w:snapToGrid w:val="0"/>
              <w:jc w:val="center"/>
              <w:rPr>
                <w:rFonts w:hint="default" w:ascii="Times New Roman" w:hAnsi="Times New Roman" w:cs="Times New Roman"/>
                <w:color w:val="000000"/>
                <w:szCs w:val="21"/>
                <w:highlight w:val="yellow"/>
              </w:rPr>
            </w:pPr>
            <w:r>
              <w:rPr>
                <w:rFonts w:hint="default" w:ascii="Times New Roman" w:hAnsi="Times New Roman" w:cs="Times New Roman"/>
                <w:color w:val="000000"/>
                <w:szCs w:val="21"/>
              </w:rPr>
              <w:t>GB 6675.4</w:t>
            </w:r>
            <w:r>
              <w:rPr>
                <w:rFonts w:hint="default" w:ascii="Times New Roman" w:hAnsi="Times New Roman" w:cs="Times New Roman"/>
                <w:szCs w:val="21"/>
              </w:rPr>
              <w:t>—</w:t>
            </w:r>
            <w:r>
              <w:rPr>
                <w:rFonts w:hint="default" w:ascii="Times New Roman" w:hAnsi="Times New Roman" w:cs="Times New Roman"/>
                <w:color w:val="000000"/>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7"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3405" w:type="dxa"/>
            <w:vAlign w:val="center"/>
          </w:tcPr>
          <w:p>
            <w:pPr>
              <w:jc w:val="center"/>
              <w:rPr>
                <w:rFonts w:hint="default" w:ascii="Times New Roman" w:hAnsi="Times New Roman" w:cs="Times New Roman"/>
              </w:rPr>
            </w:pPr>
            <w:r>
              <w:rPr>
                <w:rFonts w:hint="default" w:ascii="Times New Roman" w:hAnsi="Times New Roman" w:cs="Times New Roman"/>
              </w:rPr>
              <w:t>游离甲醛含量</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21027—2020</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32606</w:t>
            </w:r>
            <w:r>
              <w:rPr>
                <w:rFonts w:hint="default" w:ascii="Times New Roman" w:hAnsi="Times New Roman" w:cs="Times New Roman"/>
                <w:szCs w:val="21"/>
              </w:rPr>
              <w:t>—</w:t>
            </w:r>
            <w:r>
              <w:rPr>
                <w:rFonts w:hint="default" w:ascii="Times New Roman" w:hAnsi="Times New Roman" w:cs="Times New Roman"/>
                <w:color w:val="000000"/>
                <w:szCs w:val="21"/>
              </w:rPr>
              <w:t>2016</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19941.1</w:t>
            </w:r>
            <w:r>
              <w:rPr>
                <w:rFonts w:hint="default" w:ascii="Times New Roman" w:hAnsi="Times New Roman" w:cs="Times New Roman"/>
                <w:szCs w:val="21"/>
              </w:rPr>
              <w:t>—</w:t>
            </w:r>
            <w:r>
              <w:rPr>
                <w:rFonts w:hint="default" w:ascii="Times New Roman" w:hAnsi="Times New Roman" w:cs="Times New Roman"/>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7"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3405" w:type="dxa"/>
            <w:vAlign w:val="center"/>
          </w:tcPr>
          <w:p>
            <w:pPr>
              <w:jc w:val="center"/>
              <w:rPr>
                <w:rFonts w:hint="default" w:ascii="Times New Roman" w:hAnsi="Times New Roman" w:cs="Times New Roman"/>
              </w:rPr>
            </w:pPr>
            <w:r>
              <w:rPr>
                <w:rFonts w:hint="default" w:ascii="Times New Roman" w:hAnsi="Times New Roman" w:cs="Times New Roman"/>
              </w:rPr>
              <w:t>可分解有害芳香胺染料</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21027—2020</w:t>
            </w:r>
          </w:p>
        </w:tc>
        <w:tc>
          <w:tcPr>
            <w:tcW w:w="2439" w:type="dxa"/>
            <w:vAlign w:val="center"/>
          </w:tcPr>
          <w:p>
            <w:pPr>
              <w:adjustRightInd w:val="0"/>
              <w:snapToGrid w:val="0"/>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rPr>
              <w:t>GB/T 17592</w:t>
            </w:r>
            <w:r>
              <w:rPr>
                <w:rFonts w:hint="default" w:ascii="Times New Roman" w:hAnsi="Times New Roman" w:cs="Times New Roman"/>
                <w:szCs w:val="21"/>
              </w:rPr>
              <w:t>—</w:t>
            </w:r>
            <w:r>
              <w:rPr>
                <w:rFonts w:hint="default" w:ascii="Times New Roman" w:hAnsi="Times New Roman" w:cs="Times New Roman"/>
                <w:color w:val="000000"/>
                <w:szCs w:val="21"/>
              </w:rPr>
              <w:t>20</w:t>
            </w:r>
            <w:r>
              <w:rPr>
                <w:rFonts w:hint="default" w:ascii="Times New Roman" w:hAnsi="Times New Roman" w:cs="Times New Roman"/>
                <w:color w:val="000000"/>
                <w:szCs w:val="21"/>
                <w:lang w:val="en-US" w:eastAsia="zh-CN"/>
              </w:rPr>
              <w:t>24</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23344</w:t>
            </w:r>
            <w:r>
              <w:rPr>
                <w:rFonts w:hint="default" w:ascii="Times New Roman" w:hAnsi="Times New Roman" w:cs="Times New Roman"/>
                <w:szCs w:val="21"/>
              </w:rPr>
              <w:t>—</w:t>
            </w:r>
            <w:r>
              <w:rPr>
                <w:rFonts w:hint="default" w:ascii="Times New Roman" w:hAnsi="Times New Roman" w:cs="Times New Roman"/>
                <w:color w:val="000000"/>
                <w:szCs w:val="21"/>
              </w:rPr>
              <w:t>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19942</w:t>
            </w:r>
            <w:r>
              <w:rPr>
                <w:rFonts w:hint="default" w:ascii="Times New Roman" w:hAnsi="Times New Roman" w:cs="Times New Roman"/>
                <w:szCs w:val="21"/>
              </w:rPr>
              <w:t>—</w:t>
            </w:r>
            <w:r>
              <w:rPr>
                <w:rFonts w:hint="default" w:ascii="Times New Roman" w:hAnsi="Times New Roman" w:cs="Times New Roman"/>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7" w:type="dxa"/>
            <w:vAlign w:val="center"/>
          </w:tcPr>
          <w:p>
            <w:pPr>
              <w:adjustRightInd w:val="0"/>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3405"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可触及的塑料件中邻苯二甲酸酯</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增塑剂的限量</w:t>
            </w:r>
          </w:p>
        </w:tc>
        <w:tc>
          <w:tcPr>
            <w:tcW w:w="2439" w:type="dxa"/>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21027—2020</w:t>
            </w:r>
          </w:p>
        </w:tc>
        <w:tc>
          <w:tcPr>
            <w:tcW w:w="2439" w:type="dxa"/>
            <w:vAlign w:val="center"/>
          </w:tcPr>
          <w:p>
            <w:pPr>
              <w:adjustRightInd w:val="0"/>
              <w:snapToGrid w:val="0"/>
              <w:jc w:val="center"/>
              <w:rPr>
                <w:rFonts w:hint="default" w:ascii="Times New Roman" w:hAnsi="Times New Roman" w:cs="Times New Roman"/>
                <w:color w:val="000000"/>
                <w:szCs w:val="21"/>
                <w:highlight w:val="yellow"/>
              </w:rPr>
            </w:pPr>
            <w:r>
              <w:rPr>
                <w:rFonts w:hint="default" w:ascii="Times New Roman" w:hAnsi="Times New Roman" w:cs="Times New Roman"/>
                <w:color w:val="000000"/>
                <w:szCs w:val="21"/>
              </w:rPr>
              <w:t>GB/T 22048</w:t>
            </w:r>
            <w:r>
              <w:rPr>
                <w:rFonts w:hint="default" w:ascii="Times New Roman" w:hAnsi="Times New Roman" w:cs="Times New Roman"/>
                <w:szCs w:val="21"/>
              </w:rPr>
              <w:t>—</w:t>
            </w:r>
            <w:r>
              <w:rPr>
                <w:rFonts w:hint="default" w:ascii="Times New Roman" w:hAnsi="Times New Roman" w:cs="Times New Roman"/>
                <w:color w:val="000000"/>
                <w:szCs w:val="21"/>
              </w:rPr>
              <w:t>2022</w:t>
            </w:r>
          </w:p>
        </w:tc>
      </w:tr>
    </w:tbl>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pacing w:line="440" w:lineRule="exact"/>
        <w:rPr>
          <w:rFonts w:ascii="Times New Roman" w:hAnsi="Times New Roman" w:eastAsia="黑体" w:cs="Times New Roman"/>
          <w:color w:val="000000"/>
          <w:szCs w:val="21"/>
        </w:rPr>
      </w:pPr>
    </w:p>
    <w:p>
      <w:pPr>
        <w:spacing w:line="440" w:lineRule="exact"/>
        <w:rPr>
          <w:rFonts w:ascii="Times New Roman" w:hAnsi="Times New Roman" w:eastAsia="黑体" w:cs="Times New Roman"/>
          <w:color w:val="000000"/>
          <w:szCs w:val="21"/>
        </w:rPr>
      </w:pPr>
    </w:p>
    <w:p>
      <w:pPr>
        <w:spacing w:line="440" w:lineRule="exact"/>
        <w:rPr>
          <w:rFonts w:ascii="Times New Roman" w:hAnsi="Times New Roman" w:eastAsia="黑体" w:cs="Times New Roman"/>
          <w:color w:val="000000"/>
          <w:szCs w:val="21"/>
        </w:rPr>
      </w:pPr>
      <w:bookmarkStart w:id="16" w:name="_GoBack"/>
      <w:bookmarkEnd w:id="16"/>
      <w:r>
        <w:rPr>
          <w:rFonts w:ascii="Times New Roman" w:hAnsi="Times New Roman" w:eastAsia="黑体" w:cs="Times New Roman"/>
          <w:color w:val="000000"/>
          <w:szCs w:val="21"/>
        </w:rPr>
        <w:t>3 判定规则</w:t>
      </w:r>
    </w:p>
    <w:p>
      <w:pPr>
        <w:snapToGrid w:val="0"/>
        <w:spacing w:line="440" w:lineRule="exact"/>
        <w:rPr>
          <w:rFonts w:ascii="Times New Roman" w:hAnsi="Times New Roman" w:cs="Times New Roman"/>
          <w:color w:val="000000"/>
          <w:szCs w:val="21"/>
        </w:rPr>
      </w:pPr>
      <w:r>
        <w:rPr>
          <w:rFonts w:ascii="Times New Roman" w:hAnsi="Times New Roman" w:cs="Times New Roman"/>
          <w:color w:val="000000"/>
          <w:szCs w:val="21"/>
        </w:rPr>
        <w:t>3.1依据标准</w:t>
      </w:r>
    </w:p>
    <w:p>
      <w:pPr>
        <w:snapToGrid w:val="0"/>
        <w:spacing w:line="440" w:lineRule="exact"/>
        <w:rPr>
          <w:rFonts w:ascii="Times New Roman" w:hAnsi="Times New Roman" w:cs="Times New Roman"/>
          <w:color w:val="000000"/>
          <w:szCs w:val="21"/>
        </w:rPr>
      </w:pPr>
      <w:r>
        <w:rPr>
          <w:rFonts w:hint="eastAsia" w:ascii="Times New Roman" w:hAnsi="Times New Roman" w:cs="Times New Roman"/>
          <w:color w:val="000000"/>
          <w:szCs w:val="21"/>
        </w:rPr>
        <w:tab/>
      </w:r>
      <w:r>
        <w:rPr>
          <w:rFonts w:ascii="Times New Roman" w:hAnsi="Times New Roman" w:cs="Times New Roman"/>
          <w:color w:val="000000"/>
          <w:szCs w:val="21"/>
        </w:rPr>
        <w:t>GB 21027—2020学生用品的安全通用要求</w:t>
      </w:r>
    </w:p>
    <w:p>
      <w:pPr>
        <w:snapToGrid w:val="0"/>
        <w:spacing w:line="440" w:lineRule="exact"/>
        <w:rPr>
          <w:rFonts w:ascii="Times New Roman" w:hAnsi="Times New Roman" w:cs="Times New Roman"/>
          <w:color w:val="000000"/>
          <w:szCs w:val="21"/>
        </w:rPr>
      </w:pPr>
      <w:r>
        <w:rPr>
          <w:rFonts w:hint="eastAsia" w:ascii="Times New Roman" w:hAnsi="Times New Roman" w:cs="Times New Roman"/>
          <w:color w:val="000000"/>
          <w:szCs w:val="21"/>
        </w:rPr>
        <w:tab/>
      </w:r>
      <w:r>
        <w:rPr>
          <w:rFonts w:ascii="Times New Roman" w:hAnsi="Times New Roman" w:cs="Times New Roman"/>
          <w:color w:val="000000"/>
          <w:szCs w:val="21"/>
        </w:rPr>
        <w:t>GB 40070—2021</w:t>
      </w:r>
      <w:r>
        <w:rPr>
          <w:szCs w:val="21"/>
        </w:rPr>
        <w:t xml:space="preserve"> 儿童青少年学习用品近视防控卫生要求</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QB/T 1333—2018 背提包</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QB/T 2858—2007 学生书袋</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pPr>
        <w:snapToGrid w:val="0"/>
        <w:spacing w:line="440" w:lineRule="exact"/>
        <w:rPr>
          <w:rFonts w:ascii="Times New Roman" w:hAnsi="Times New Roman" w:cs="Times New Roman"/>
          <w:color w:val="000000"/>
          <w:szCs w:val="21"/>
        </w:rPr>
      </w:pPr>
      <w:r>
        <w:rPr>
          <w:rFonts w:ascii="Times New Roman" w:hAnsi="Times New Roman" w:cs="Times New Roman"/>
          <w:color w:val="000000"/>
          <w:szCs w:val="21"/>
        </w:rPr>
        <w:t>3.2判定原则</w:t>
      </w:r>
    </w:p>
    <w:p>
      <w:pPr>
        <w:snapToGrid w:val="0"/>
        <w:spacing w:line="440" w:lineRule="exact"/>
        <w:ind w:firstLine="420" w:firstLineChars="200"/>
      </w:pPr>
      <w: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szCs w:val="21"/>
        </w:rPr>
      </w:pPr>
      <w:r>
        <w:rPr>
          <w:rFonts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szCs w:val="21"/>
        </w:rPr>
      </w:pPr>
      <w:r>
        <w:rPr>
          <w:rFonts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szCs w:val="21"/>
        </w:rPr>
      </w:pPr>
      <w:r>
        <w:rPr>
          <w:rFonts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szCs w:val="21"/>
        </w:rPr>
      </w:pPr>
      <w:r>
        <w:rPr>
          <w:rFonts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eastAsia="仿宋_GB2312" w:cs="Times New Roman"/>
          <w:color w:val="000000"/>
          <w:kern w:val="0"/>
          <w:sz w:val="28"/>
          <w:szCs w:val="28"/>
        </w:rPr>
      </w:pPr>
      <w:r>
        <w:rPr>
          <w:rFonts w:ascii="Times New Roman" w:hAnsi="Times New Roman" w:cs="Times New Roman"/>
          <w:color w:val="000000"/>
          <w:szCs w:val="21"/>
        </w:rPr>
        <w:t>若被检产品明示的质量要求缺少本细则中检验项目依据的推荐性标准要求时，该项目不参与判定。</w:t>
      </w:r>
    </w:p>
    <w:sectPr>
      <w:headerReference r:id="rId4" w:type="default"/>
      <w:footerReference r:id="rId5"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r>
      <w:rPr>
        <w:rFonts w:ascii="Calibri" w:hAnsi="Calibri" w:eastAsia="宋体" w:cs="Times New Roman"/>
        <w:kern w:val="0"/>
        <w:sz w:val="18"/>
        <w:szCs w:val="18"/>
        <w:lang w:val="en-US" w:eastAsia="zh-CN" w:bidi="ar-SA"/>
      </w:rPr>
      <w:pict>
        <v:rect id="Quad Arrow 2049" o:spid="_x0000_s1025" style="position:absolute;left:0;margin-top:0pt;height:10.35pt;width:4.55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PAGE  \* MERGEFORMAT </w:instrText>
                </w:r>
                <w:r>
                  <w:rPr>
                    <w:rFonts w:ascii="Times New Roman" w:hAnsi="Times New Roman" w:cs="Times New Roman"/>
                    <w:sz w:val="18"/>
                  </w:rPr>
                  <w:fldChar w:fldCharType="separate"/>
                </w:r>
                <w:r>
                  <w:rPr>
                    <w:rFonts w:ascii="Times New Roman" w:hAnsi="Times New Roman" w:cs="Times New Roman"/>
                    <w:sz w:val="18"/>
                  </w:rPr>
                  <w:t>5</w:t>
                </w:r>
                <w:r>
                  <w:rPr>
                    <w:rFonts w:ascii="Times New Roman" w:hAnsi="Times New Roman" w:cs="Times New Roman"/>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OTkwMjg2MzM2YzU0YmM3MzcyYTY5NmY3NGMzOTdhZjQifQ=="/>
  </w:docVars>
  <w:rsids>
    <w:rsidRoot w:val="00172A27"/>
    <w:rsid w:val="0000220E"/>
    <w:rsid w:val="000363F2"/>
    <w:rsid w:val="00037A5E"/>
    <w:rsid w:val="0004098A"/>
    <w:rsid w:val="00044462"/>
    <w:rsid w:val="00054578"/>
    <w:rsid w:val="00066D80"/>
    <w:rsid w:val="00085F08"/>
    <w:rsid w:val="00087F44"/>
    <w:rsid w:val="00090404"/>
    <w:rsid w:val="00094C82"/>
    <w:rsid w:val="000A0119"/>
    <w:rsid w:val="000E1EA7"/>
    <w:rsid w:val="001029DA"/>
    <w:rsid w:val="00141325"/>
    <w:rsid w:val="00160760"/>
    <w:rsid w:val="00172A27"/>
    <w:rsid w:val="00187CF5"/>
    <w:rsid w:val="001B10A4"/>
    <w:rsid w:val="001B4024"/>
    <w:rsid w:val="001B65C7"/>
    <w:rsid w:val="001C7687"/>
    <w:rsid w:val="001C76A0"/>
    <w:rsid w:val="001E5A12"/>
    <w:rsid w:val="001F02C6"/>
    <w:rsid w:val="0020662E"/>
    <w:rsid w:val="00206E72"/>
    <w:rsid w:val="0021421A"/>
    <w:rsid w:val="002329EB"/>
    <w:rsid w:val="00235390"/>
    <w:rsid w:val="00243D89"/>
    <w:rsid w:val="00252B90"/>
    <w:rsid w:val="002722AD"/>
    <w:rsid w:val="00287856"/>
    <w:rsid w:val="00294F78"/>
    <w:rsid w:val="002A172B"/>
    <w:rsid w:val="002B17F3"/>
    <w:rsid w:val="002C15A1"/>
    <w:rsid w:val="002D11CA"/>
    <w:rsid w:val="002E33FF"/>
    <w:rsid w:val="002E53C1"/>
    <w:rsid w:val="002E6819"/>
    <w:rsid w:val="002F561E"/>
    <w:rsid w:val="002F6657"/>
    <w:rsid w:val="003055EB"/>
    <w:rsid w:val="00321350"/>
    <w:rsid w:val="00335D1F"/>
    <w:rsid w:val="003501A2"/>
    <w:rsid w:val="003519CC"/>
    <w:rsid w:val="0035550A"/>
    <w:rsid w:val="00363F8A"/>
    <w:rsid w:val="00373A93"/>
    <w:rsid w:val="00374EFB"/>
    <w:rsid w:val="00396F86"/>
    <w:rsid w:val="003A59E1"/>
    <w:rsid w:val="003B6B06"/>
    <w:rsid w:val="003B7C3A"/>
    <w:rsid w:val="003C1D8F"/>
    <w:rsid w:val="004233F4"/>
    <w:rsid w:val="00432817"/>
    <w:rsid w:val="00434C55"/>
    <w:rsid w:val="004427C8"/>
    <w:rsid w:val="00443D10"/>
    <w:rsid w:val="0045643E"/>
    <w:rsid w:val="00463620"/>
    <w:rsid w:val="00473C6F"/>
    <w:rsid w:val="004C481C"/>
    <w:rsid w:val="004C6409"/>
    <w:rsid w:val="004E06B0"/>
    <w:rsid w:val="00502E08"/>
    <w:rsid w:val="00511C4F"/>
    <w:rsid w:val="0051594D"/>
    <w:rsid w:val="005313EE"/>
    <w:rsid w:val="00532BA3"/>
    <w:rsid w:val="00560F30"/>
    <w:rsid w:val="00561BF0"/>
    <w:rsid w:val="00563B83"/>
    <w:rsid w:val="00564022"/>
    <w:rsid w:val="00575747"/>
    <w:rsid w:val="005849E5"/>
    <w:rsid w:val="00593E05"/>
    <w:rsid w:val="00595170"/>
    <w:rsid w:val="005972E7"/>
    <w:rsid w:val="005A0266"/>
    <w:rsid w:val="005B35C8"/>
    <w:rsid w:val="005B5A3B"/>
    <w:rsid w:val="005B7957"/>
    <w:rsid w:val="005C7C93"/>
    <w:rsid w:val="005D785E"/>
    <w:rsid w:val="005E4D9D"/>
    <w:rsid w:val="005E540A"/>
    <w:rsid w:val="005F4CBA"/>
    <w:rsid w:val="0060542D"/>
    <w:rsid w:val="0060612F"/>
    <w:rsid w:val="00614F79"/>
    <w:rsid w:val="00622532"/>
    <w:rsid w:val="00673DC1"/>
    <w:rsid w:val="00674415"/>
    <w:rsid w:val="00681F55"/>
    <w:rsid w:val="0069248F"/>
    <w:rsid w:val="006B429A"/>
    <w:rsid w:val="006C5117"/>
    <w:rsid w:val="006D0F12"/>
    <w:rsid w:val="006D5FDF"/>
    <w:rsid w:val="006D7F3F"/>
    <w:rsid w:val="006E143C"/>
    <w:rsid w:val="006F2559"/>
    <w:rsid w:val="007007C9"/>
    <w:rsid w:val="007105B0"/>
    <w:rsid w:val="00711980"/>
    <w:rsid w:val="007221A4"/>
    <w:rsid w:val="00727E04"/>
    <w:rsid w:val="007349E5"/>
    <w:rsid w:val="007448B6"/>
    <w:rsid w:val="0076133C"/>
    <w:rsid w:val="00762D24"/>
    <w:rsid w:val="007755ED"/>
    <w:rsid w:val="007955DE"/>
    <w:rsid w:val="007A207F"/>
    <w:rsid w:val="007D711F"/>
    <w:rsid w:val="007D7C97"/>
    <w:rsid w:val="007D7DAE"/>
    <w:rsid w:val="007F3223"/>
    <w:rsid w:val="007F3933"/>
    <w:rsid w:val="008050F4"/>
    <w:rsid w:val="00815921"/>
    <w:rsid w:val="00821437"/>
    <w:rsid w:val="00840BA5"/>
    <w:rsid w:val="00846DA8"/>
    <w:rsid w:val="00856B2A"/>
    <w:rsid w:val="00856F6A"/>
    <w:rsid w:val="00860E80"/>
    <w:rsid w:val="008A4668"/>
    <w:rsid w:val="008D1D3C"/>
    <w:rsid w:val="008E22BE"/>
    <w:rsid w:val="008F5A6C"/>
    <w:rsid w:val="009224F9"/>
    <w:rsid w:val="00936A62"/>
    <w:rsid w:val="00944380"/>
    <w:rsid w:val="0095370B"/>
    <w:rsid w:val="009560AC"/>
    <w:rsid w:val="0096366F"/>
    <w:rsid w:val="009878D7"/>
    <w:rsid w:val="009960FE"/>
    <w:rsid w:val="009B474E"/>
    <w:rsid w:val="009B4AE8"/>
    <w:rsid w:val="009D17C2"/>
    <w:rsid w:val="009D7932"/>
    <w:rsid w:val="009E0F21"/>
    <w:rsid w:val="009E3B65"/>
    <w:rsid w:val="009F44A9"/>
    <w:rsid w:val="00A212FA"/>
    <w:rsid w:val="00A33DCA"/>
    <w:rsid w:val="00A4593C"/>
    <w:rsid w:val="00A46982"/>
    <w:rsid w:val="00A61092"/>
    <w:rsid w:val="00A7082C"/>
    <w:rsid w:val="00A72690"/>
    <w:rsid w:val="00A81572"/>
    <w:rsid w:val="00A84A1E"/>
    <w:rsid w:val="00A956BE"/>
    <w:rsid w:val="00A979D8"/>
    <w:rsid w:val="00AA5B66"/>
    <w:rsid w:val="00AB4E3F"/>
    <w:rsid w:val="00AC43E2"/>
    <w:rsid w:val="00AC64BE"/>
    <w:rsid w:val="00AC6E9E"/>
    <w:rsid w:val="00B02823"/>
    <w:rsid w:val="00B02FB8"/>
    <w:rsid w:val="00B03342"/>
    <w:rsid w:val="00B1178A"/>
    <w:rsid w:val="00B13DF4"/>
    <w:rsid w:val="00B2617E"/>
    <w:rsid w:val="00B33193"/>
    <w:rsid w:val="00B3728B"/>
    <w:rsid w:val="00B465B6"/>
    <w:rsid w:val="00B56E65"/>
    <w:rsid w:val="00B726A3"/>
    <w:rsid w:val="00B96189"/>
    <w:rsid w:val="00B96254"/>
    <w:rsid w:val="00BA1DFD"/>
    <w:rsid w:val="00BD4F20"/>
    <w:rsid w:val="00BE07F5"/>
    <w:rsid w:val="00BE6A5E"/>
    <w:rsid w:val="00BF46FF"/>
    <w:rsid w:val="00BF4DD8"/>
    <w:rsid w:val="00C02621"/>
    <w:rsid w:val="00C339C1"/>
    <w:rsid w:val="00C36CF2"/>
    <w:rsid w:val="00C43E8D"/>
    <w:rsid w:val="00C64AF2"/>
    <w:rsid w:val="00C65B18"/>
    <w:rsid w:val="00C70BD9"/>
    <w:rsid w:val="00C810DA"/>
    <w:rsid w:val="00CA18BC"/>
    <w:rsid w:val="00CA3870"/>
    <w:rsid w:val="00CD4E16"/>
    <w:rsid w:val="00CE6C12"/>
    <w:rsid w:val="00CF494B"/>
    <w:rsid w:val="00D00D6E"/>
    <w:rsid w:val="00D11200"/>
    <w:rsid w:val="00D133A6"/>
    <w:rsid w:val="00D169E6"/>
    <w:rsid w:val="00D17400"/>
    <w:rsid w:val="00D17561"/>
    <w:rsid w:val="00D24B06"/>
    <w:rsid w:val="00D3485D"/>
    <w:rsid w:val="00D3785C"/>
    <w:rsid w:val="00D46141"/>
    <w:rsid w:val="00D52452"/>
    <w:rsid w:val="00D6601F"/>
    <w:rsid w:val="00D74731"/>
    <w:rsid w:val="00D80E9E"/>
    <w:rsid w:val="00DB6589"/>
    <w:rsid w:val="00DC355D"/>
    <w:rsid w:val="00DD03B2"/>
    <w:rsid w:val="00DE49F1"/>
    <w:rsid w:val="00DF0948"/>
    <w:rsid w:val="00E04312"/>
    <w:rsid w:val="00E1017E"/>
    <w:rsid w:val="00E543B9"/>
    <w:rsid w:val="00E6770F"/>
    <w:rsid w:val="00EA23D8"/>
    <w:rsid w:val="00EB73F5"/>
    <w:rsid w:val="00EC71D1"/>
    <w:rsid w:val="00ED12C2"/>
    <w:rsid w:val="00ED4EF4"/>
    <w:rsid w:val="00EE6070"/>
    <w:rsid w:val="00EF1399"/>
    <w:rsid w:val="00EF1781"/>
    <w:rsid w:val="00EF2D24"/>
    <w:rsid w:val="00EF59BD"/>
    <w:rsid w:val="00EF74F8"/>
    <w:rsid w:val="00F040F0"/>
    <w:rsid w:val="00F07536"/>
    <w:rsid w:val="00F07E21"/>
    <w:rsid w:val="00F24C07"/>
    <w:rsid w:val="00F27406"/>
    <w:rsid w:val="00F3381E"/>
    <w:rsid w:val="00F341DF"/>
    <w:rsid w:val="00F4435D"/>
    <w:rsid w:val="00F50042"/>
    <w:rsid w:val="00F576FA"/>
    <w:rsid w:val="00F6080B"/>
    <w:rsid w:val="00F62AF4"/>
    <w:rsid w:val="00F63630"/>
    <w:rsid w:val="00F64E28"/>
    <w:rsid w:val="00F81128"/>
    <w:rsid w:val="00F86308"/>
    <w:rsid w:val="00FD5BDC"/>
    <w:rsid w:val="00FD673A"/>
    <w:rsid w:val="00FE1797"/>
    <w:rsid w:val="00FE43DE"/>
    <w:rsid w:val="00FF3D22"/>
    <w:rsid w:val="03420B6E"/>
    <w:rsid w:val="034315CF"/>
    <w:rsid w:val="03AB3C55"/>
    <w:rsid w:val="03EB6CC5"/>
    <w:rsid w:val="0527276B"/>
    <w:rsid w:val="052A0788"/>
    <w:rsid w:val="05A306A3"/>
    <w:rsid w:val="05EE3E15"/>
    <w:rsid w:val="0660171D"/>
    <w:rsid w:val="06F66E47"/>
    <w:rsid w:val="071E7B51"/>
    <w:rsid w:val="071F2356"/>
    <w:rsid w:val="07B96286"/>
    <w:rsid w:val="086C7AD9"/>
    <w:rsid w:val="08C71214"/>
    <w:rsid w:val="091F17F6"/>
    <w:rsid w:val="099F0BE2"/>
    <w:rsid w:val="09B27B45"/>
    <w:rsid w:val="0ADD615D"/>
    <w:rsid w:val="0BA4728A"/>
    <w:rsid w:val="0BAC6727"/>
    <w:rsid w:val="0D9E37BA"/>
    <w:rsid w:val="0DD52A84"/>
    <w:rsid w:val="0F470958"/>
    <w:rsid w:val="0FE74C65"/>
    <w:rsid w:val="10990BCE"/>
    <w:rsid w:val="10B52CC0"/>
    <w:rsid w:val="10CB5DDD"/>
    <w:rsid w:val="115060E6"/>
    <w:rsid w:val="11BA4909"/>
    <w:rsid w:val="12875300"/>
    <w:rsid w:val="12D85563"/>
    <w:rsid w:val="12F37975"/>
    <w:rsid w:val="142B3002"/>
    <w:rsid w:val="154121BD"/>
    <w:rsid w:val="168843E6"/>
    <w:rsid w:val="17180F31"/>
    <w:rsid w:val="18531198"/>
    <w:rsid w:val="18D17EB7"/>
    <w:rsid w:val="19060993"/>
    <w:rsid w:val="1A154011"/>
    <w:rsid w:val="1A4F6C6F"/>
    <w:rsid w:val="1AC83A48"/>
    <w:rsid w:val="1B9D6088"/>
    <w:rsid w:val="1C1740F4"/>
    <w:rsid w:val="1D2439AB"/>
    <w:rsid w:val="1D4A581B"/>
    <w:rsid w:val="1D6E3F3B"/>
    <w:rsid w:val="1D7B75D7"/>
    <w:rsid w:val="1E094535"/>
    <w:rsid w:val="1F2247BF"/>
    <w:rsid w:val="1FA54E17"/>
    <w:rsid w:val="2169379A"/>
    <w:rsid w:val="228A54D1"/>
    <w:rsid w:val="23A114E9"/>
    <w:rsid w:val="24BC6C98"/>
    <w:rsid w:val="25426764"/>
    <w:rsid w:val="2548254D"/>
    <w:rsid w:val="25B22F1C"/>
    <w:rsid w:val="2620001C"/>
    <w:rsid w:val="263B2391"/>
    <w:rsid w:val="2665552A"/>
    <w:rsid w:val="267619F4"/>
    <w:rsid w:val="276F2606"/>
    <w:rsid w:val="27B941DA"/>
    <w:rsid w:val="29301B61"/>
    <w:rsid w:val="29391F4A"/>
    <w:rsid w:val="2A161CFE"/>
    <w:rsid w:val="2A6C697C"/>
    <w:rsid w:val="2A7F46D8"/>
    <w:rsid w:val="2AB27959"/>
    <w:rsid w:val="2BD53C6E"/>
    <w:rsid w:val="2C342EB0"/>
    <w:rsid w:val="2CD71218"/>
    <w:rsid w:val="2D33329E"/>
    <w:rsid w:val="2D8A7A97"/>
    <w:rsid w:val="2DB620F8"/>
    <w:rsid w:val="2DC04470"/>
    <w:rsid w:val="2DE14792"/>
    <w:rsid w:val="2E18643C"/>
    <w:rsid w:val="2E4A2816"/>
    <w:rsid w:val="2EAF2A67"/>
    <w:rsid w:val="2EC6048E"/>
    <w:rsid w:val="30B322E9"/>
    <w:rsid w:val="30EA3B02"/>
    <w:rsid w:val="313531CB"/>
    <w:rsid w:val="3138396F"/>
    <w:rsid w:val="31435CAE"/>
    <w:rsid w:val="31C313F0"/>
    <w:rsid w:val="31C6348B"/>
    <w:rsid w:val="31F2138C"/>
    <w:rsid w:val="326726C4"/>
    <w:rsid w:val="36AF77B4"/>
    <w:rsid w:val="371E0D83"/>
    <w:rsid w:val="3762046C"/>
    <w:rsid w:val="38611B76"/>
    <w:rsid w:val="38727FED"/>
    <w:rsid w:val="3931470C"/>
    <w:rsid w:val="3A265F1F"/>
    <w:rsid w:val="3A934088"/>
    <w:rsid w:val="3B934FC1"/>
    <w:rsid w:val="3BA04226"/>
    <w:rsid w:val="3C79654A"/>
    <w:rsid w:val="3CA83A9D"/>
    <w:rsid w:val="3CD04BCF"/>
    <w:rsid w:val="3E1E1B64"/>
    <w:rsid w:val="3E2F5776"/>
    <w:rsid w:val="3E8B45DA"/>
    <w:rsid w:val="3EB83DCD"/>
    <w:rsid w:val="3F421126"/>
    <w:rsid w:val="3F981AB8"/>
    <w:rsid w:val="407B2714"/>
    <w:rsid w:val="40F0452A"/>
    <w:rsid w:val="41204246"/>
    <w:rsid w:val="41C1669E"/>
    <w:rsid w:val="44514694"/>
    <w:rsid w:val="44E05F49"/>
    <w:rsid w:val="452D0822"/>
    <w:rsid w:val="458D067B"/>
    <w:rsid w:val="45F76D59"/>
    <w:rsid w:val="46B44D75"/>
    <w:rsid w:val="46DB28CC"/>
    <w:rsid w:val="48E36992"/>
    <w:rsid w:val="49C55BD3"/>
    <w:rsid w:val="4BFB0768"/>
    <w:rsid w:val="4CFE3307"/>
    <w:rsid w:val="4E1F33C5"/>
    <w:rsid w:val="4E5F16BB"/>
    <w:rsid w:val="4E860FA1"/>
    <w:rsid w:val="4F373BAB"/>
    <w:rsid w:val="4FCF573A"/>
    <w:rsid w:val="5001795C"/>
    <w:rsid w:val="50366423"/>
    <w:rsid w:val="50D67249"/>
    <w:rsid w:val="521119EC"/>
    <w:rsid w:val="526861E8"/>
    <w:rsid w:val="527D57C5"/>
    <w:rsid w:val="54411FC1"/>
    <w:rsid w:val="544E2698"/>
    <w:rsid w:val="54DF361A"/>
    <w:rsid w:val="56335700"/>
    <w:rsid w:val="57073D5C"/>
    <w:rsid w:val="57A77326"/>
    <w:rsid w:val="58ED72C2"/>
    <w:rsid w:val="58EF44A1"/>
    <w:rsid w:val="59006DB8"/>
    <w:rsid w:val="59267A29"/>
    <w:rsid w:val="59441517"/>
    <w:rsid w:val="59E977F5"/>
    <w:rsid w:val="5A8B48C0"/>
    <w:rsid w:val="5BB5102B"/>
    <w:rsid w:val="5CA130D7"/>
    <w:rsid w:val="5D3F2988"/>
    <w:rsid w:val="5EAE0524"/>
    <w:rsid w:val="600902F1"/>
    <w:rsid w:val="607B4673"/>
    <w:rsid w:val="60B43818"/>
    <w:rsid w:val="61992A8D"/>
    <w:rsid w:val="61BE1BE0"/>
    <w:rsid w:val="61F9478A"/>
    <w:rsid w:val="62262809"/>
    <w:rsid w:val="625A4C21"/>
    <w:rsid w:val="625A70D2"/>
    <w:rsid w:val="629846B9"/>
    <w:rsid w:val="62F316FB"/>
    <w:rsid w:val="62FF08DB"/>
    <w:rsid w:val="63D0037C"/>
    <w:rsid w:val="651D7AC2"/>
    <w:rsid w:val="65907399"/>
    <w:rsid w:val="66160E39"/>
    <w:rsid w:val="66277044"/>
    <w:rsid w:val="662A6EC1"/>
    <w:rsid w:val="66E40B00"/>
    <w:rsid w:val="672406A3"/>
    <w:rsid w:val="680E79E7"/>
    <w:rsid w:val="68831E44"/>
    <w:rsid w:val="68D54286"/>
    <w:rsid w:val="691B69CA"/>
    <w:rsid w:val="69210676"/>
    <w:rsid w:val="699C300C"/>
    <w:rsid w:val="69D46176"/>
    <w:rsid w:val="6A041D89"/>
    <w:rsid w:val="6A064B62"/>
    <w:rsid w:val="6A566CE7"/>
    <w:rsid w:val="6A6F7CF1"/>
    <w:rsid w:val="6A752975"/>
    <w:rsid w:val="6AAD336C"/>
    <w:rsid w:val="6B470C97"/>
    <w:rsid w:val="6B705295"/>
    <w:rsid w:val="6C482A9E"/>
    <w:rsid w:val="6C5A7282"/>
    <w:rsid w:val="6C9877A3"/>
    <w:rsid w:val="6D771751"/>
    <w:rsid w:val="6D9E6983"/>
    <w:rsid w:val="6DF167FB"/>
    <w:rsid w:val="6F2D28CB"/>
    <w:rsid w:val="6F407C43"/>
    <w:rsid w:val="6F854881"/>
    <w:rsid w:val="70506986"/>
    <w:rsid w:val="72B66778"/>
    <w:rsid w:val="73B2720E"/>
    <w:rsid w:val="73BD67A5"/>
    <w:rsid w:val="73C96E71"/>
    <w:rsid w:val="7548780A"/>
    <w:rsid w:val="768D1B33"/>
    <w:rsid w:val="77435A7B"/>
    <w:rsid w:val="77925712"/>
    <w:rsid w:val="788406DA"/>
    <w:rsid w:val="78C250A9"/>
    <w:rsid w:val="78DB4D9F"/>
    <w:rsid w:val="78E67D28"/>
    <w:rsid w:val="793D0567"/>
    <w:rsid w:val="7A7B0935"/>
    <w:rsid w:val="7B6371D7"/>
    <w:rsid w:val="7C863648"/>
    <w:rsid w:val="7D07694A"/>
    <w:rsid w:val="7DB279F6"/>
    <w:rsid w:val="7E7E52B7"/>
    <w:rsid w:val="7EAB2839"/>
    <w:rsid w:val="7EBB7774"/>
    <w:rsid w:val="7ED04CBC"/>
    <w:rsid w:val="7ED53FCD"/>
    <w:rsid w:val="7FC34D9A"/>
    <w:rsid w:val="7FC92D3E"/>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paragraph" w:styleId="2">
    <w:name w:val="heading 3"/>
    <w:basedOn w:val="1"/>
    <w:next w:val="1"/>
    <w:qFormat/>
    <w:uiPriority w:val="9"/>
    <w:pPr>
      <w:spacing w:before="100" w:beforeAutospacing="1" w:after="100" w:afterAutospacing="1"/>
      <w:jc w:val="left"/>
      <w:outlineLvl w:val="2"/>
    </w:pPr>
    <w:rPr>
      <w:rFonts w:hint="eastAsia" w:ascii="宋体" w:hAnsi="宋体" w:cs="Times New Roman"/>
      <w:b/>
      <w:kern w:val="0"/>
      <w:sz w:val="27"/>
      <w:szCs w:val="27"/>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3">
    <w:name w:val="annotation subject"/>
    <w:basedOn w:val="4"/>
    <w:next w:val="4"/>
    <w:link w:val="17"/>
    <w:unhideWhenUsed/>
    <w:qFormat/>
    <w:uiPriority w:val="99"/>
    <w:rPr>
      <w:b/>
      <w:bCs/>
      <w:kern w:val="2"/>
      <w:sz w:val="21"/>
      <w:szCs w:val="22"/>
    </w:rPr>
  </w:style>
  <w:style w:type="paragraph" w:styleId="4">
    <w:name w:val="annotation text"/>
    <w:basedOn w:val="1"/>
    <w:link w:val="19"/>
    <w:qFormat/>
    <w:uiPriority w:val="0"/>
    <w:pPr>
      <w:jc w:val="left"/>
    </w:pPr>
    <w:rPr>
      <w:rFonts w:cs="Times New Roman"/>
      <w:kern w:val="0"/>
      <w:sz w:val="20"/>
      <w:szCs w:val="21"/>
    </w:rPr>
  </w:style>
  <w:style w:type="paragraph" w:styleId="5">
    <w:name w:val="Balloon Text"/>
    <w:basedOn w:val="1"/>
    <w:link w:val="21"/>
    <w:unhideWhenUsed/>
    <w:qFormat/>
    <w:uiPriority w:val="99"/>
    <w:rPr>
      <w:rFonts w:cs="Times New Roman"/>
      <w:kern w:val="0"/>
      <w:sz w:val="18"/>
      <w:szCs w:val="18"/>
    </w:rPr>
  </w:style>
  <w:style w:type="paragraph" w:styleId="6">
    <w:name w:val="footer"/>
    <w:basedOn w:val="1"/>
    <w:link w:val="20"/>
    <w:unhideWhenUsed/>
    <w:qFormat/>
    <w:uiPriority w:val="99"/>
    <w:pPr>
      <w:tabs>
        <w:tab w:val="center" w:pos="4153"/>
        <w:tab w:val="right" w:pos="8306"/>
      </w:tabs>
      <w:snapToGrid w:val="0"/>
      <w:jc w:val="left"/>
    </w:pPr>
    <w:rPr>
      <w:rFonts w:cs="Times New Roman"/>
      <w:kern w:val="0"/>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0">
    <w:name w:val="Strong"/>
    <w:qFormat/>
    <w:uiPriority w:val="22"/>
    <w:rPr>
      <w:b/>
    </w:rPr>
  </w:style>
  <w:style w:type="character" w:styleId="11">
    <w:name w:val="page number"/>
    <w:basedOn w:val="9"/>
    <w:unhideWhenUsed/>
    <w:qFormat/>
    <w:uiPriority w:val="99"/>
    <w:rPr/>
  </w:style>
  <w:style w:type="character" w:styleId="12">
    <w:name w:val="annotation reference"/>
    <w:qFormat/>
    <w:uiPriority w:val="0"/>
    <w:rPr>
      <w:sz w:val="21"/>
      <w:szCs w:val="21"/>
    </w:rPr>
  </w:style>
  <w:style w:type="table" w:styleId="14">
    <w:name w:val="Table Grid"/>
    <w:basedOn w:val="13"/>
    <w:qFormat/>
    <w:uiPriority w:val="39"/>
    <w:pPr>
      <w:widowControl w:val="0"/>
      <w:jc w:val="both"/>
    </w:p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5">
    <w:name w:val="修订1"/>
    <w:unhideWhenUsed/>
    <w:qFormat/>
    <w:uiPriority w:val="99"/>
    <w:rPr>
      <w:rFonts w:ascii="Calibri" w:hAnsi="Calibri" w:eastAsia="宋体" w:cs="Calibri"/>
      <w:kern w:val="2"/>
      <w:sz w:val="21"/>
      <w:szCs w:val="22"/>
      <w:lang w:val="en-US" w:eastAsia="zh-CN" w:bidi="ar-SA"/>
    </w:rPr>
  </w:style>
  <w:style w:type="paragraph" w:customStyle="1" w:styleId="16">
    <w:name w:val="列表段落1"/>
    <w:basedOn w:val="1"/>
    <w:qFormat/>
    <w:uiPriority w:val="34"/>
    <w:pPr>
      <w:ind w:firstLine="420" w:firstLineChars="200"/>
    </w:pPr>
  </w:style>
  <w:style w:type="character" w:customStyle="1" w:styleId="17">
    <w:name w:val="批注主题 字符"/>
    <w:link w:val="3"/>
    <w:semiHidden/>
    <w:qFormat/>
    <w:uiPriority w:val="99"/>
    <w:rPr>
      <w:rFonts w:ascii="Calibri" w:hAnsi="Calibri" w:eastAsia="宋体" w:cs="Calibri"/>
      <w:b/>
      <w:bCs/>
      <w:kern w:val="2"/>
      <w:sz w:val="21"/>
      <w:szCs w:val="22"/>
    </w:rPr>
  </w:style>
  <w:style w:type="character" w:customStyle="1" w:styleId="18">
    <w:name w:val="页眉 字符"/>
    <w:link w:val="7"/>
    <w:qFormat/>
    <w:uiPriority w:val="99"/>
    <w:rPr>
      <w:sz w:val="18"/>
      <w:szCs w:val="18"/>
    </w:rPr>
  </w:style>
  <w:style w:type="character" w:customStyle="1" w:styleId="19">
    <w:name w:val="批注文字 字符"/>
    <w:link w:val="4"/>
    <w:qFormat/>
    <w:uiPriority w:val="0"/>
    <w:rPr>
      <w:rFonts w:ascii="Calibri" w:hAnsi="Calibri" w:eastAsia="宋体" w:cs="Calibri"/>
      <w:szCs w:val="21"/>
    </w:rPr>
  </w:style>
  <w:style w:type="character" w:customStyle="1" w:styleId="20">
    <w:name w:val="页脚 字符"/>
    <w:link w:val="6"/>
    <w:qFormat/>
    <w:uiPriority w:val="99"/>
    <w:rPr>
      <w:sz w:val="18"/>
      <w:szCs w:val="18"/>
    </w:rPr>
  </w:style>
  <w:style w:type="character" w:customStyle="1" w:styleId="21">
    <w:name w:val="批注框文本 字符"/>
    <w:link w:val="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683</Words>
  <Characters>3896</Characters>
  <Lines>32</Lines>
  <Paragraphs>9</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2025-03-27T08:56:00Z</dcterms:created>
  <dc:creator>longdaxingye01@outlook.com</dc:creator>
  <cp:lastModifiedBy>zhouwei</cp:lastModifiedBy>
  <cp:lastPrinted>2023-05-06T07:04:00Z</cp:lastPrinted>
  <dcterms:modified xsi:type="dcterms:W3CDTF">2025-03-28T02:22:30Z</dcterms:modified>
  <dc:title>北京市学生用品产品质量监督抽查实施细则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61DFF3FC6AEC42D192D6EB1F0A20B98A</vt:lpwstr>
  </property>
</Properties>
</file>