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 xml:space="preserve">3                 </w:t>
      </w:r>
    </w:p>
    <w:p>
      <w:pPr>
        <w:adjustRightInd w:val="0"/>
        <w:snapToGrid w:val="0"/>
        <w:spacing w:line="578" w:lineRule="exact"/>
        <w:ind w:firstLine="720" w:firstLineChars="2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不合格项目说明</w:t>
      </w: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一、标识</w:t>
      </w: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标识项目反映了移动电源产品使用、溯源的具体信息。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GB/T 35590-2017《信息技术 便携式数字设备用移动电源通用规范》标准中规定产品的标识应完整。检验发现部分产品未标注额定容量、电池或电池组额定能量，消费者缺少选购和使用信息，容易被误导。</w:t>
      </w: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二、常温下的有效输出容量</w:t>
      </w: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常温下的有效输出容量项目反映了移动电源产品的实际可输出容量。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GB/T 35590-2017《信息技术 便携式数字设备用移动电源通用规范》标准中规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定移动电源的有效输出容量不低于额定容量。检验发现部分产品常温下的有效输出容量低于额定容量，无法达到消费者的使用预期。</w:t>
      </w:r>
    </w:p>
    <w:p>
      <w:pPr>
        <w:autoSpaceDE w:val="0"/>
        <w:autoSpaceDN w:val="0"/>
        <w:adjustRightInd w:val="0"/>
        <w:spacing w:line="578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三、转换效率</w:t>
      </w:r>
    </w:p>
    <w:p>
      <w:r>
        <w:rPr>
          <w:rFonts w:hint="default" w:ascii="Times New Roman" w:hAnsi="Times New Roman" w:eastAsia="仿宋_GB2312" w:cs="Times New Roman"/>
          <w:sz w:val="30"/>
          <w:szCs w:val="30"/>
        </w:rPr>
        <w:t>转换效率项目反映了移动电源产品的能量转换效率。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GB/T 35590-2017《信息技术 便携式数字设备用移动电源通用规范》标准中规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定移动电源的转换效率应符合制造商移动电源使用说明的明示值，如无明示，则应不低于80%。检验发现部分产品转换效率低，无法达到消费者的使用预期。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1F14252"/>
    <w:rsid w:val="31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2023-11-06T03:25:00Z</dcterms:created>
  <dc:creator>小杜儿～</dc:creator>
  <cp:lastModifiedBy>小杜儿～</cp:lastModifiedBy>
  <dcterms:modified xsi:type="dcterms:W3CDTF">2023-11-06T03:26:02Z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83CD1E8B2E5E4D628C8186C0789D1A7B_11</vt:lpwstr>
  </property>
</Properties>
</file>