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6"/>
        <w:numPr>
          <w:ilvl w:val="0"/>
          <w:numId w:val="1"/>
        </w:numPr>
        <w:spacing w:line="560" w:lineRule="exact"/>
        <w:ind w:left="0" w:firstLine="640"/>
        <w:textAlignment w:val="baseline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pStyle w:val="9"/>
        <w:spacing w:line="560" w:lineRule="exact"/>
        <w:ind w:firstLine="63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Cs/>
          <w:sz w:val="32"/>
          <w:szCs w:val="32"/>
        </w:rPr>
        <w:t>食品中农药最大残留限量》（</w:t>
      </w:r>
      <w:r>
        <w:rPr>
          <w:rFonts w:eastAsia="仿宋_GB2312"/>
          <w:bCs/>
          <w:sz w:val="32"/>
          <w:szCs w:val="32"/>
        </w:rPr>
        <w:t>GB 2763</w:t>
      </w:r>
      <w:r>
        <w:rPr>
          <w:rFonts w:hint="eastAsia" w:eastAsia="仿宋_GB2312"/>
          <w:bCs/>
          <w:sz w:val="32"/>
          <w:szCs w:val="32"/>
        </w:rPr>
        <w:t>）规定，韭菜中腐霉利的最大残留限量为</w:t>
      </w:r>
      <w:r>
        <w:rPr>
          <w:rFonts w:eastAsia="仿宋_GB2312"/>
          <w:bCs/>
          <w:sz w:val="32"/>
          <w:szCs w:val="32"/>
        </w:rPr>
        <w:t>0.2 mg/kg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糕点、面包》（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7099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）对面包中的菌落总数规定同批次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的，且至少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个包装产品检测结果不超过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熟肉制品》（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2726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对预包装的熟肉制品（发酵肉制品类除外）中的菌落总数规定同批次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的，且至少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个包装产品检测结果不超过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 w:cs="仿宋"/>
          <w:color w:val="000000"/>
          <w:sz w:val="32"/>
          <w:szCs w:val="32"/>
        </w:rPr>
        <w:t>酸价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酸价是脂肪中游离脂肪酸含量的标志，主要反映油脂酸败程度。食品中酸价超标可能产生哈喇味。《食品安全国家标准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植物油》（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2716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）规定，煎炸过程中的食用植物油中的酸价（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KOH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）应不超过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5 mg/g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大肠菌群是国内外通用的食品污染常用指示菌之一。食品中检出大肠菌群，提示被肠道致病菌污染的可能性较大。《食品安全国家标准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冷冻饮品和制作料》（</w:t>
      </w:r>
      <w:r>
        <w:rPr>
          <w:rFonts w:eastAsia="仿宋_GB2312"/>
          <w:color w:val="000000"/>
          <w:sz w:val="32"/>
          <w:szCs w:val="32"/>
        </w:rPr>
        <w:t>GB 2759</w:t>
      </w:r>
      <w:r>
        <w:rPr>
          <w:rFonts w:hint="eastAsia" w:eastAsia="仿宋_GB2312"/>
          <w:color w:val="000000"/>
          <w:sz w:val="32"/>
          <w:szCs w:val="32"/>
        </w:rPr>
        <w:t>）对冷冻饮品中的大肠菌群规定同批次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个独立包装产品中大肠菌群检测结果不允许有超过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CFU/g</w:t>
      </w:r>
      <w:r>
        <w:rPr>
          <w:rFonts w:hint="eastAsia" w:eastAsia="仿宋_GB2312"/>
          <w:color w:val="000000"/>
          <w:sz w:val="32"/>
          <w:szCs w:val="32"/>
        </w:rPr>
        <w:t>的，且至少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个包装产品检测结果不超过</w:t>
      </w:r>
      <w:r>
        <w:rPr>
          <w:rFonts w:eastAsia="仿宋_GB2312"/>
          <w:color w:val="000000"/>
          <w:sz w:val="32"/>
          <w:szCs w:val="32"/>
        </w:rPr>
        <w:t>10 CFU/g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克伦特罗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克伦特罗属于β</w: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兴奋剂类药物，能提高胴体的瘦肉率。人食用含有“瘦肉精”的动物性食品，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可能会引起中毒，出现心悸、头晕、乏力等症状，对人体健康造成伤害。</w:t>
      </w:r>
      <w:r>
        <w:rPr>
          <w:rFonts w:hint="eastAsia" w:ascii="Times New Roman" w:hAnsi="Times New Roman" w:eastAsia="仿宋_GB2312" w:cs="Times New Roman"/>
          <w:iCs/>
          <w:color w:val="000000"/>
          <w:sz w:val="32"/>
          <w:szCs w:val="32"/>
        </w:rPr>
        <w:t>整顿办函〔</w:t>
      </w:r>
      <w:r>
        <w:rPr>
          <w:rFonts w:ascii="Times New Roman" w:hAnsi="Times New Roman" w:eastAsia="仿宋_GB2312" w:cs="Times New Roman"/>
          <w:iCs/>
          <w:color w:val="000000"/>
          <w:sz w:val="32"/>
          <w:szCs w:val="32"/>
        </w:rPr>
        <w:t>2010</w:t>
      </w:r>
      <w:r>
        <w:rPr>
          <w:rFonts w:hint="eastAsia" w:ascii="Times New Roman" w:hAnsi="Times New Roman" w:eastAsia="仿宋_GB2312" w:cs="Times New Roman"/>
          <w:iCs/>
          <w:color w:val="000000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iCs/>
          <w:color w:val="000000"/>
          <w:sz w:val="32"/>
          <w:szCs w:val="32"/>
        </w:rPr>
        <w:t>50</w:t>
      </w:r>
      <w:r>
        <w:rPr>
          <w:rFonts w:hint="eastAsia" w:ascii="Times New Roman" w:hAnsi="Times New Roman" w:eastAsia="仿宋_GB2312" w:cs="Times New Roman"/>
          <w:iCs/>
          <w:color w:val="000000"/>
          <w:sz w:val="32"/>
          <w:szCs w:val="32"/>
        </w:rPr>
        <w:t>号文件将克伦特罗列为非食用物质，在动物性食品中应不得检出。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《食品动物中禁止使用的药品及其他化合物清单》（农业农村部公告第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号）中规定，食品动物中禁止使用β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兴奋剂类及其盐、酯。</w:t>
      </w:r>
      <w:bookmarkStart w:id="0" w:name="_GoBack"/>
      <w:bookmarkEnd w:id="0"/>
    </w:p>
    <w:p>
      <w:pPr>
        <w:pStyle w:val="15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号），明确规定食品动物禁止使用孔雀石绿。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克百威，又名呋喃丹，是一种广谱性杀虫、杀螨、杀线虫剂。克百威属于高毒农药，</w:t>
      </w:r>
      <w:r>
        <w:rPr>
          <w:rFonts w:hint="eastAsia" w:eastAsia="仿宋_GB2312" w:cs="黑体"/>
          <w:sz w:val="32"/>
          <w:szCs w:val="32"/>
        </w:rPr>
        <w:t>农业部第</w:t>
      </w:r>
      <w:r>
        <w:rPr>
          <w:rFonts w:eastAsia="仿宋_GB2312" w:cs="黑体"/>
          <w:sz w:val="32"/>
          <w:szCs w:val="32"/>
        </w:rPr>
        <w:t>199</w:t>
      </w:r>
      <w:r>
        <w:rPr>
          <w:rFonts w:hint="eastAsia" w:eastAsia="仿宋_GB2312" w:cs="黑体"/>
          <w:sz w:val="32"/>
          <w:szCs w:val="32"/>
        </w:rPr>
        <w:t>号公告明确规定克百威不得用于蔬菜、果树、茶叶、中草药材上。《食品安全国家标准</w:t>
      </w:r>
      <w:r>
        <w:rPr>
          <w:rFonts w:eastAsia="仿宋_GB2312" w:cs="黑体"/>
          <w:sz w:val="32"/>
          <w:szCs w:val="32"/>
        </w:rPr>
        <w:t xml:space="preserve"> </w:t>
      </w:r>
      <w:r>
        <w:rPr>
          <w:rFonts w:hint="eastAsia" w:eastAsia="仿宋_GB2312" w:cs="黑体"/>
          <w:sz w:val="32"/>
          <w:szCs w:val="32"/>
        </w:rPr>
        <w:t>食品中农药最大残留限量》（</w:t>
      </w:r>
      <w:r>
        <w:rPr>
          <w:rFonts w:eastAsia="仿宋_GB2312" w:cs="黑体"/>
          <w:sz w:val="32"/>
          <w:szCs w:val="32"/>
        </w:rPr>
        <w:t>GB 2763</w:t>
      </w:r>
      <w:r>
        <w:rPr>
          <w:rFonts w:hint="eastAsia" w:eastAsia="仿宋_GB2312" w:cs="黑体"/>
          <w:sz w:val="32"/>
          <w:szCs w:val="32"/>
        </w:rPr>
        <w:t>）规定，豆类蔬菜中克百威的最大残留限量为</w:t>
      </w:r>
      <w:r>
        <w:rPr>
          <w:rFonts w:eastAsia="仿宋_GB2312" w:cs="黑体"/>
          <w:sz w:val="32"/>
          <w:szCs w:val="32"/>
        </w:rPr>
        <w:t>0.02 mg/kg</w:t>
      </w:r>
      <w:r>
        <w:rPr>
          <w:rFonts w:hint="eastAsia" w:eastAsia="仿宋_GB2312" w:cs="黑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35898847">
    <w:nsid w:val="736378DF"/>
    <w:multiLevelType w:val="multilevel"/>
    <w:tmpl w:val="736378DF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 w:ascii="黑体" w:hAnsi="黑体" w:eastAsia="黑体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358988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dBjQiO2zAR5QBP1KKzr4XAOjBos=" w:salt="GdwbFnvhO87SgTHVYcZws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4D8E"/>
    <w:rsid w:val="001A6EB4"/>
    <w:rsid w:val="001A76CB"/>
    <w:rsid w:val="001A7792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87A"/>
    <w:rsid w:val="002C0FF8"/>
    <w:rsid w:val="002C29BF"/>
    <w:rsid w:val="002C2A8A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24D5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2D4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03BF"/>
    <w:rsid w:val="00521C41"/>
    <w:rsid w:val="00523A2E"/>
    <w:rsid w:val="005249A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21D1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0B23"/>
    <w:rsid w:val="008E330A"/>
    <w:rsid w:val="008E3A54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0F4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675"/>
    <w:rsid w:val="00986AE1"/>
    <w:rsid w:val="00995284"/>
    <w:rsid w:val="009961DD"/>
    <w:rsid w:val="009A237D"/>
    <w:rsid w:val="009A2D71"/>
    <w:rsid w:val="009A3AF1"/>
    <w:rsid w:val="009A500D"/>
    <w:rsid w:val="009A75E2"/>
    <w:rsid w:val="009B04E3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16BA"/>
    <w:rsid w:val="009D20C8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38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6E8A"/>
    <w:rsid w:val="00BB0141"/>
    <w:rsid w:val="00BB1D57"/>
    <w:rsid w:val="00BB23E3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74CB"/>
    <w:rsid w:val="00CC19DE"/>
    <w:rsid w:val="00CC1EBE"/>
    <w:rsid w:val="00CC2278"/>
    <w:rsid w:val="00CC7CC6"/>
    <w:rsid w:val="00CD048B"/>
    <w:rsid w:val="00CD5519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5BBB"/>
    <w:rsid w:val="00D262CC"/>
    <w:rsid w:val="00D2774B"/>
    <w:rsid w:val="00D277BF"/>
    <w:rsid w:val="00D33FE0"/>
    <w:rsid w:val="00D361B2"/>
    <w:rsid w:val="00D3636A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28FE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48C3"/>
    <w:rsid w:val="00F05768"/>
    <w:rsid w:val="00F05A64"/>
    <w:rsid w:val="00F1345F"/>
    <w:rsid w:val="00F1550F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5A66F69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413148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167</Words>
  <Characters>953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2022-08-17T06:54:00Z</cp:lastPrinted>
  <dcterms:modified xsi:type="dcterms:W3CDTF">2022-08-19T09:28:43Z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