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饮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>
      <w:pPr>
        <w:pStyle w:val="14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倍硫磷</w:t>
      </w:r>
    </w:p>
    <w:p>
      <w:pPr>
        <w:pStyle w:val="14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倍硫磷是具有触杀、胃毒和熏蒸作用的有机磷农药，对蚜虫等有较好防治效果。《食品安全国家标准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）规定，茄果类蔬菜中倍硫磷的最大残留限量为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0.05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灭蝇胺</w:t>
      </w:r>
    </w:p>
    <w:p>
      <w:pPr>
        <w:pStyle w:val="9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灭蝇胺又名环丙氨嗪，是一种具有触杀功能的昆虫生长调节剂，干扰蜕皮和蛹化。《食品安全国家标准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食品中农药最大残留限量》（</w:t>
      </w:r>
      <w:r>
        <w:rPr>
          <w:rFonts w:eastAsia="仿宋_GB2312"/>
          <w:sz w:val="32"/>
          <w:szCs w:val="32"/>
        </w:rPr>
        <w:t>GB 2763</w:t>
      </w:r>
      <w:r>
        <w:rPr>
          <w:rFonts w:hint="eastAsia" w:eastAsia="仿宋_GB2312"/>
          <w:sz w:val="32"/>
          <w:szCs w:val="32"/>
        </w:rPr>
        <w:t>）规定，豇豆中灭蝇胺的最大残留限量为</w:t>
      </w:r>
      <w:r>
        <w:rPr>
          <w:rFonts w:eastAsia="仿宋_GB2312"/>
          <w:sz w:val="32"/>
          <w:szCs w:val="32"/>
        </w:rPr>
        <w:t>0.5 mg/kg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hAnsi="Times New Roman" w:eastAsia="仿宋_GB2312" w:cs="Times New Roman"/>
          <w:sz w:val="32"/>
          <w:szCs w:val="32"/>
        </w:rPr>
        <w:t>2032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号公告规定自</w:t>
      </w:r>
      <w:r>
        <w:rPr>
          <w:rFonts w:ascii="Times New Roman" w:hAnsi="Times New Roman" w:eastAsia="仿宋_GB2312" w:cs="Times New Roman"/>
          <w:sz w:val="32"/>
          <w:szCs w:val="32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日起，禁止毒死蜱在蔬菜中使用。《食品安全国家标准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）规定，鳞茎类蔬菜中毒死蜱的最大残留限量为</w:t>
      </w:r>
      <w:r>
        <w:rPr>
          <w:rFonts w:ascii="Times New Roman" w:hAnsi="Times New Roman" w:eastAsia="仿宋_GB2312" w:cs="Times New Roman"/>
          <w:sz w:val="32"/>
          <w:szCs w:val="32"/>
        </w:rPr>
        <w:t>0.02 mg/kg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噻虫胺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噻虫胺具有根内吸活性和层间传导性，能防治水稻、玉米、油菜、果树和蔬菜、柑橘的刺吸式和咀嚼式害虫，如飞虱、椿象、蚜虫和烟粉虱。《食品安全国家标准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）规定，芹菜中噻虫胺的最大残留限量为</w:t>
      </w:r>
      <w:r>
        <w:rPr>
          <w:rFonts w:eastAsia="仿宋_GB2312"/>
          <w:color w:val="000000"/>
          <w:sz w:val="32"/>
          <w:szCs w:val="32"/>
        </w:rPr>
        <w:t>0.04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15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号），明确规定食品动物禁止使用孔雀石绿。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三氯蔗糖</w:t>
      </w:r>
    </w:p>
    <w:p>
      <w:pPr>
        <w:pStyle w:val="9"/>
        <w:spacing w:line="560" w:lineRule="exact"/>
        <w:ind w:firstLine="640" w:firstLineChars="200"/>
        <w:rPr>
          <w:rFonts w:eastAsia="仿宋_GB2312" w:cs="黑体"/>
          <w:sz w:val="32"/>
          <w:szCs w:val="32"/>
        </w:rPr>
      </w:pPr>
      <w:bookmarkStart w:id="0" w:name="_Hlk103630129"/>
      <w:r>
        <w:rPr>
          <w:rFonts w:hint="eastAsia" w:eastAsia="仿宋_GB2312" w:cs="黑体"/>
          <w:sz w:val="32"/>
          <w:szCs w:val="32"/>
        </w:rPr>
        <w:t>三氯蔗糖</w:t>
      </w:r>
      <w:bookmarkEnd w:id="0"/>
      <w:r>
        <w:rPr>
          <w:rFonts w:hint="eastAsia" w:eastAsia="仿宋_GB2312" w:cs="黑体"/>
          <w:sz w:val="32"/>
          <w:szCs w:val="32"/>
        </w:rPr>
        <w:t>又名蔗糖素，是一种白色至近白色、无臭的结晶性粉末，是一种以蔗糖为原料的功能性甜味剂，甜度高，热稳定性较好。《食品安全国家标准 食品添加剂使用标准》（GB2760）规定腌渍的蔬菜中三氯蔗糖的最大使用量为</w:t>
      </w:r>
      <w:r>
        <w:rPr>
          <w:rFonts w:eastAsia="仿宋_GB2312" w:cs="黑体"/>
          <w:sz w:val="32"/>
          <w:szCs w:val="32"/>
        </w:rPr>
        <w:t>0.25</w:t>
      </w:r>
      <w:r>
        <w:rPr>
          <w:rFonts w:hint="eastAsia" w:eastAsia="仿宋_GB2312" w:cs="黑体"/>
          <w:sz w:val="32"/>
          <w:szCs w:val="32"/>
        </w:rPr>
        <w:t xml:space="preserve"> g/kg。</w:t>
      </w:r>
      <w:bookmarkStart w:id="1" w:name="_GoBack"/>
      <w:bookmarkEnd w:id="1"/>
    </w:p>
    <w:p>
      <w:pPr>
        <w:adjustRightInd w:val="0"/>
        <w:snapToGrid w:val="0"/>
        <w:spacing w:line="560" w:lineRule="exact"/>
        <w:textAlignment w:val="baseline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5275133">
    <w:nsid w:val="3EE6387D"/>
    <w:multiLevelType w:val="multilevel"/>
    <w:tmpl w:val="3EE6387D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552751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0a8lXtdxoJVloVZNd++0x1OJoG4=" w:salt="UAVfkwKdOXq0STJ1lhMYI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1F52"/>
    <w:rsid w:val="00043035"/>
    <w:rsid w:val="00044B73"/>
    <w:rsid w:val="0004548C"/>
    <w:rsid w:val="00045988"/>
    <w:rsid w:val="0004743B"/>
    <w:rsid w:val="00060A1E"/>
    <w:rsid w:val="00060A49"/>
    <w:rsid w:val="0006507F"/>
    <w:rsid w:val="0006564C"/>
    <w:rsid w:val="00070113"/>
    <w:rsid w:val="000721BA"/>
    <w:rsid w:val="00072B05"/>
    <w:rsid w:val="0007322D"/>
    <w:rsid w:val="00073965"/>
    <w:rsid w:val="00074EB5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C28"/>
    <w:rsid w:val="00101E86"/>
    <w:rsid w:val="00102812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363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1569"/>
    <w:rsid w:val="001B3B46"/>
    <w:rsid w:val="001B3EE1"/>
    <w:rsid w:val="001B7D4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D7942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655"/>
    <w:rsid w:val="00565FB6"/>
    <w:rsid w:val="005741C1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1724"/>
    <w:rsid w:val="005A21E2"/>
    <w:rsid w:val="005A3A38"/>
    <w:rsid w:val="005A3D45"/>
    <w:rsid w:val="005A4DF3"/>
    <w:rsid w:val="005A537D"/>
    <w:rsid w:val="005A5CB5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7C4C"/>
    <w:rsid w:val="006A4201"/>
    <w:rsid w:val="006B0E22"/>
    <w:rsid w:val="006B2017"/>
    <w:rsid w:val="006B6528"/>
    <w:rsid w:val="006C00C9"/>
    <w:rsid w:val="006C184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2D15"/>
    <w:rsid w:val="00764207"/>
    <w:rsid w:val="007678E1"/>
    <w:rsid w:val="007742DF"/>
    <w:rsid w:val="0077527E"/>
    <w:rsid w:val="007771B0"/>
    <w:rsid w:val="00777EF8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5A92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7975"/>
    <w:rsid w:val="00B1194D"/>
    <w:rsid w:val="00B12BDA"/>
    <w:rsid w:val="00B1307F"/>
    <w:rsid w:val="00B13951"/>
    <w:rsid w:val="00B16CC0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D5519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3636A"/>
    <w:rsid w:val="00D44911"/>
    <w:rsid w:val="00D463B6"/>
    <w:rsid w:val="00D55832"/>
    <w:rsid w:val="00D62A70"/>
    <w:rsid w:val="00D679B2"/>
    <w:rsid w:val="00D7013F"/>
    <w:rsid w:val="00D71251"/>
    <w:rsid w:val="00D712A9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B0"/>
    <w:rsid w:val="00E13AFF"/>
    <w:rsid w:val="00E15D64"/>
    <w:rsid w:val="00E16D44"/>
    <w:rsid w:val="00E226D8"/>
    <w:rsid w:val="00E22800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873EE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5F480E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5A6C57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187</Words>
  <Characters>1072</Characters>
  <Lines>8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2022-04-07T02:11:00Z</cp:lastPrinted>
  <dcterms:modified xsi:type="dcterms:W3CDTF">2022-06-15T08:20:58Z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