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27D" w:rsidRDefault="00C0327D">
      <w:pPr>
        <w:ind w:firstLine="1044"/>
        <w:jc w:val="center"/>
        <w:rPr>
          <w:b/>
          <w:bCs/>
          <w:color w:val="000000"/>
          <w:sz w:val="52"/>
          <w:szCs w:val="52"/>
        </w:rPr>
      </w:pPr>
    </w:p>
    <w:p w:rsidR="00C0327D" w:rsidRDefault="00C0327D">
      <w:pPr>
        <w:ind w:firstLine="1044"/>
        <w:jc w:val="center"/>
        <w:rPr>
          <w:rFonts w:ascii="宋体" w:hAnsi="宋体" w:cs="宋体"/>
          <w:b/>
          <w:bCs/>
          <w:color w:val="000000"/>
          <w:sz w:val="52"/>
          <w:szCs w:val="52"/>
        </w:rPr>
      </w:pPr>
      <w:r>
        <w:rPr>
          <w:rFonts w:ascii="宋体" w:hAnsi="宋体" w:cs="宋体" w:hint="eastAsia"/>
          <w:b/>
          <w:bCs/>
          <w:color w:val="000000"/>
          <w:sz w:val="52"/>
          <w:szCs w:val="52"/>
        </w:rPr>
        <w:t>北京市市级财政支出项目</w:t>
      </w:r>
    </w:p>
    <w:p w:rsidR="00C0327D" w:rsidRDefault="00C0327D">
      <w:pPr>
        <w:ind w:firstLine="1044"/>
        <w:jc w:val="center"/>
        <w:rPr>
          <w:rFonts w:ascii="宋体" w:hAnsi="宋体"/>
          <w:b/>
          <w:bCs/>
          <w:color w:val="000000"/>
          <w:sz w:val="52"/>
          <w:szCs w:val="52"/>
        </w:rPr>
      </w:pPr>
      <w:r>
        <w:rPr>
          <w:rFonts w:ascii="宋体" w:hAnsi="宋体" w:cs="宋体" w:hint="eastAsia"/>
          <w:b/>
          <w:bCs/>
          <w:color w:val="000000"/>
          <w:sz w:val="52"/>
          <w:szCs w:val="52"/>
        </w:rPr>
        <w:t>绩效评价报告</w:t>
      </w:r>
    </w:p>
    <w:p w:rsidR="00C0327D" w:rsidRDefault="00C0327D">
      <w:pPr>
        <w:ind w:firstLine="600"/>
        <w:jc w:val="center"/>
        <w:rPr>
          <w:rFonts w:ascii="宋体" w:hAnsi="宋体"/>
          <w:color w:val="000000"/>
          <w:sz w:val="30"/>
        </w:rPr>
      </w:pPr>
    </w:p>
    <w:p w:rsidR="00C0327D" w:rsidRDefault="00C0327D">
      <w:pPr>
        <w:ind w:firstLine="600"/>
        <w:jc w:val="center"/>
        <w:rPr>
          <w:rFonts w:ascii="宋体" w:hAnsi="宋体"/>
          <w:color w:val="000000"/>
          <w:sz w:val="30"/>
        </w:rPr>
      </w:pPr>
    </w:p>
    <w:p w:rsidR="00C0327D" w:rsidRDefault="00C0327D">
      <w:pPr>
        <w:ind w:firstLine="600"/>
        <w:jc w:val="center"/>
        <w:rPr>
          <w:rFonts w:ascii="宋体" w:hAnsi="宋体"/>
          <w:color w:val="000000"/>
          <w:sz w:val="30"/>
        </w:rPr>
      </w:pPr>
    </w:p>
    <w:p w:rsidR="00C0327D" w:rsidRDefault="00C0327D">
      <w:pPr>
        <w:ind w:firstLine="600"/>
        <w:jc w:val="center"/>
        <w:rPr>
          <w:rFonts w:ascii="宋体" w:hAnsi="宋体"/>
          <w:color w:val="000000"/>
          <w:sz w:val="30"/>
        </w:rPr>
      </w:pPr>
    </w:p>
    <w:p w:rsidR="00C0327D" w:rsidRDefault="00C0327D">
      <w:pPr>
        <w:rPr>
          <w:rFonts w:ascii="宋体" w:hAnsi="宋体"/>
          <w:color w:val="000000"/>
          <w:sz w:val="30"/>
        </w:rPr>
      </w:pPr>
    </w:p>
    <w:p w:rsidR="00C0327D" w:rsidRDefault="00C0327D">
      <w:pPr>
        <w:spacing w:line="360" w:lineRule="auto"/>
        <w:ind w:firstLineChars="300" w:firstLine="960"/>
        <w:rPr>
          <w:rFonts w:ascii="宋体" w:hAnsi="宋体"/>
          <w:color w:val="000000"/>
          <w:sz w:val="32"/>
          <w:szCs w:val="32"/>
          <w:u w:val="single"/>
        </w:rPr>
      </w:pPr>
      <w:r>
        <w:rPr>
          <w:rFonts w:ascii="宋体" w:hAnsi="宋体" w:hint="eastAsia"/>
          <w:color w:val="000000"/>
          <w:sz w:val="32"/>
          <w:szCs w:val="32"/>
        </w:rPr>
        <w:t xml:space="preserve"> </w:t>
      </w:r>
      <w:r>
        <w:rPr>
          <w:rFonts w:ascii="宋体" w:hAnsi="宋体" w:hint="eastAsia"/>
          <w:b/>
          <w:color w:val="000000"/>
          <w:sz w:val="32"/>
          <w:szCs w:val="32"/>
        </w:rPr>
        <w:t>主管部门</w:t>
      </w:r>
      <w:r>
        <w:rPr>
          <w:rFonts w:ascii="宋体" w:hAnsi="宋体" w:hint="eastAsia"/>
          <w:color w:val="000000"/>
          <w:sz w:val="32"/>
          <w:szCs w:val="32"/>
          <w:u w:val="single"/>
        </w:rPr>
        <w:t xml:space="preserve">    北京市市场监督管理局 </w:t>
      </w:r>
      <w:r w:rsidR="002343CE">
        <w:rPr>
          <w:rFonts w:ascii="宋体" w:hAnsi="宋体" w:hint="eastAsia"/>
          <w:color w:val="000000"/>
          <w:sz w:val="32"/>
          <w:szCs w:val="32"/>
          <w:u w:val="single"/>
        </w:rPr>
        <w:t xml:space="preserve">      </w:t>
      </w:r>
      <w:r>
        <w:rPr>
          <w:rFonts w:ascii="宋体" w:hAnsi="宋体" w:hint="eastAsia"/>
          <w:color w:val="000000"/>
          <w:sz w:val="32"/>
          <w:szCs w:val="32"/>
          <w:u w:val="single"/>
        </w:rPr>
        <w:t xml:space="preserve">  </w:t>
      </w:r>
      <w:r w:rsidR="002343CE">
        <w:rPr>
          <w:rFonts w:ascii="宋体" w:hAnsi="宋体" w:hint="eastAsia"/>
          <w:color w:val="000000"/>
          <w:sz w:val="32"/>
          <w:szCs w:val="32"/>
          <w:u w:val="single"/>
        </w:rPr>
        <w:t xml:space="preserve">     </w:t>
      </w:r>
      <w:r>
        <w:rPr>
          <w:rFonts w:ascii="宋体" w:hAnsi="宋体" w:hint="eastAsia"/>
          <w:color w:val="000000"/>
          <w:sz w:val="32"/>
          <w:szCs w:val="32"/>
          <w:u w:val="single"/>
        </w:rPr>
        <w:t xml:space="preserve">  </w:t>
      </w:r>
    </w:p>
    <w:p w:rsidR="00C0327D" w:rsidRDefault="00C0327D">
      <w:pPr>
        <w:spacing w:line="360" w:lineRule="auto"/>
        <w:ind w:firstLineChars="100" w:firstLine="320"/>
        <w:rPr>
          <w:rFonts w:ascii="宋体" w:hAnsi="宋体"/>
          <w:color w:val="000000"/>
          <w:sz w:val="32"/>
          <w:szCs w:val="32"/>
          <w:u w:val="single"/>
        </w:rPr>
      </w:pPr>
      <w:r>
        <w:rPr>
          <w:rFonts w:ascii="宋体" w:hAnsi="宋体" w:hint="eastAsia"/>
          <w:color w:val="000000"/>
          <w:sz w:val="32"/>
          <w:szCs w:val="32"/>
        </w:rPr>
        <w:t xml:space="preserve">     </w:t>
      </w:r>
      <w:r>
        <w:rPr>
          <w:rFonts w:ascii="宋体" w:hAnsi="宋体" w:hint="eastAsia"/>
          <w:b/>
          <w:color w:val="000000"/>
          <w:sz w:val="32"/>
          <w:szCs w:val="32"/>
        </w:rPr>
        <w:t>项目单位</w:t>
      </w:r>
      <w:r>
        <w:rPr>
          <w:rFonts w:ascii="宋体" w:hAnsi="宋体"/>
          <w:color w:val="000000"/>
          <w:sz w:val="32"/>
          <w:szCs w:val="32"/>
          <w:u w:val="single"/>
        </w:rPr>
        <w:t xml:space="preserve"> </w:t>
      </w:r>
      <w:r>
        <w:rPr>
          <w:rFonts w:ascii="宋体" w:hAnsi="宋体" w:hint="eastAsia"/>
          <w:color w:val="000000"/>
          <w:sz w:val="32"/>
          <w:szCs w:val="32"/>
          <w:u w:val="single"/>
        </w:rPr>
        <w:t xml:space="preserve">   </w:t>
      </w:r>
      <w:r>
        <w:rPr>
          <w:rFonts w:ascii="仿宋_GB2312" w:hAnsi="宋体" w:hint="eastAsia"/>
          <w:color w:val="000000"/>
          <w:sz w:val="32"/>
          <w:u w:val="single"/>
        </w:rPr>
        <w:t>北京市食品安全监控和风险评估中心</w:t>
      </w:r>
      <w:r>
        <w:rPr>
          <w:rFonts w:ascii="宋体" w:hAnsi="宋体" w:hint="eastAsia"/>
          <w:color w:val="000000"/>
          <w:sz w:val="32"/>
          <w:szCs w:val="32"/>
          <w:u w:val="single"/>
        </w:rPr>
        <w:t xml:space="preserve">      </w:t>
      </w:r>
    </w:p>
    <w:p w:rsidR="00C0327D" w:rsidRDefault="00C0327D" w:rsidP="002343CE">
      <w:pPr>
        <w:spacing w:line="360" w:lineRule="auto"/>
        <w:ind w:leftChars="497" w:left="2329" w:hangingChars="400" w:hanging="1285"/>
        <w:rPr>
          <w:rFonts w:ascii="宋体" w:hAnsi="宋体"/>
          <w:bCs/>
          <w:color w:val="000000"/>
          <w:sz w:val="32"/>
          <w:szCs w:val="32"/>
          <w:u w:val="single"/>
        </w:rPr>
      </w:pPr>
      <w:r>
        <w:rPr>
          <w:rFonts w:ascii="宋体" w:hAnsi="宋体" w:hint="eastAsia"/>
          <w:b/>
          <w:color w:val="000000"/>
          <w:sz w:val="32"/>
          <w:szCs w:val="32"/>
        </w:rPr>
        <w:t>项目名称</w:t>
      </w:r>
      <w:r>
        <w:rPr>
          <w:rFonts w:ascii="宋体" w:hAnsi="宋体"/>
          <w:color w:val="000000"/>
          <w:sz w:val="32"/>
          <w:szCs w:val="32"/>
          <w:u w:val="single"/>
        </w:rPr>
        <w:t xml:space="preserve"> </w:t>
      </w:r>
      <w:r>
        <w:rPr>
          <w:rFonts w:ascii="宋体" w:hAnsi="宋体" w:hint="eastAsia"/>
          <w:bCs/>
          <w:color w:val="000000"/>
          <w:sz w:val="32"/>
          <w:szCs w:val="32"/>
          <w:u w:val="single"/>
        </w:rPr>
        <w:t xml:space="preserve">   追加2022年冬奥会和冬残奥会食品安全保障检验检测仪器设备配置项目尾款</w:t>
      </w:r>
      <w:r w:rsidR="002343CE">
        <w:rPr>
          <w:rFonts w:ascii="宋体" w:hAnsi="宋体" w:hint="eastAsia"/>
          <w:bCs/>
          <w:color w:val="000000"/>
          <w:sz w:val="32"/>
          <w:szCs w:val="32"/>
          <w:u w:val="single"/>
        </w:rPr>
        <w:t xml:space="preserve">        </w:t>
      </w:r>
      <w:r>
        <w:rPr>
          <w:rFonts w:ascii="宋体" w:hAnsi="宋体" w:hint="eastAsia"/>
          <w:color w:val="000000"/>
          <w:sz w:val="32"/>
          <w:szCs w:val="32"/>
          <w:u w:val="single"/>
        </w:rPr>
        <w:t xml:space="preserve">   </w:t>
      </w:r>
    </w:p>
    <w:p w:rsidR="00C0327D" w:rsidRDefault="00C0327D">
      <w:pPr>
        <w:spacing w:line="360" w:lineRule="auto"/>
        <w:ind w:firstLineChars="250" w:firstLine="800"/>
        <w:rPr>
          <w:rFonts w:ascii="宋体" w:hAnsi="宋体"/>
          <w:color w:val="000000"/>
          <w:sz w:val="32"/>
          <w:szCs w:val="32"/>
          <w:u w:val="single"/>
        </w:rPr>
      </w:pPr>
      <w:r>
        <w:rPr>
          <w:rFonts w:ascii="宋体" w:hAnsi="宋体" w:hint="eastAsia"/>
          <w:color w:val="000000"/>
          <w:sz w:val="32"/>
          <w:szCs w:val="32"/>
        </w:rPr>
        <w:t xml:space="preserve">  </w:t>
      </w:r>
      <w:r>
        <w:rPr>
          <w:rFonts w:ascii="宋体" w:hAnsi="宋体" w:hint="eastAsia"/>
          <w:b/>
          <w:color w:val="000000"/>
          <w:sz w:val="32"/>
          <w:szCs w:val="32"/>
        </w:rPr>
        <w:t>评价机构</w:t>
      </w:r>
      <w:r>
        <w:rPr>
          <w:rFonts w:ascii="宋体" w:hAnsi="宋体"/>
          <w:color w:val="000000"/>
          <w:sz w:val="32"/>
          <w:szCs w:val="32"/>
          <w:u w:val="single"/>
        </w:rPr>
        <w:t xml:space="preserve">  </w:t>
      </w:r>
      <w:r>
        <w:rPr>
          <w:rFonts w:ascii="宋体" w:hAnsi="宋体" w:hint="eastAsia"/>
          <w:color w:val="000000"/>
          <w:sz w:val="32"/>
          <w:szCs w:val="32"/>
          <w:u w:val="single"/>
        </w:rPr>
        <w:t xml:space="preserve">  </w:t>
      </w:r>
      <w:r w:rsidR="002343CE">
        <w:rPr>
          <w:rFonts w:ascii="宋体" w:hAnsi="宋体" w:hint="eastAsia"/>
          <w:color w:val="000000"/>
          <w:sz w:val="32"/>
          <w:szCs w:val="32"/>
          <w:u w:val="single"/>
        </w:rPr>
        <w:t xml:space="preserve"> </w:t>
      </w:r>
      <w:r>
        <w:rPr>
          <w:rFonts w:ascii="宋体" w:hAnsi="宋体" w:hint="eastAsia"/>
          <w:color w:val="000000"/>
          <w:sz w:val="32"/>
          <w:szCs w:val="32"/>
          <w:u w:val="single"/>
        </w:rPr>
        <w:t>北京市市场监督管理局</w:t>
      </w:r>
      <w:r w:rsidR="002343CE">
        <w:rPr>
          <w:rFonts w:ascii="宋体" w:hAnsi="宋体" w:hint="eastAsia"/>
          <w:color w:val="000000"/>
          <w:sz w:val="32"/>
          <w:szCs w:val="32"/>
          <w:u w:val="single"/>
        </w:rPr>
        <w:t xml:space="preserve">             </w:t>
      </w:r>
      <w:r>
        <w:rPr>
          <w:rFonts w:ascii="宋体" w:hAnsi="宋体" w:hint="eastAsia"/>
          <w:bCs/>
          <w:color w:val="000000"/>
          <w:sz w:val="32"/>
          <w:szCs w:val="32"/>
          <w:u w:val="single"/>
        </w:rPr>
        <w:t xml:space="preserve">     </w:t>
      </w:r>
    </w:p>
    <w:p w:rsidR="00C0327D" w:rsidRDefault="00DF399F">
      <w:pPr>
        <w:spacing w:line="360" w:lineRule="auto"/>
        <w:ind w:firstLineChars="350" w:firstLine="1124"/>
        <w:jc w:val="left"/>
        <w:rPr>
          <w:rFonts w:ascii="宋体" w:hAnsi="宋体"/>
          <w:b/>
          <w:color w:val="000000"/>
          <w:sz w:val="32"/>
          <w:szCs w:val="32"/>
        </w:rPr>
      </w:pPr>
      <w:r>
        <w:rPr>
          <w:rFonts w:ascii="宋体" w:hAnsi="宋体"/>
          <w:b/>
          <w:color w:val="000000"/>
          <w:sz w:val="32"/>
          <w:szCs w:val="32"/>
        </w:rPr>
        <w:pict>
          <v:shapetype id="_x0000_t202" coordsize="21600,21600" o:spt="202" path="m,l,21600r21600,l21600,xe">
            <v:stroke joinstyle="miter"/>
            <v:path gradientshapeok="t" o:connecttype="rect"/>
          </v:shapetype>
          <v:shape id="Text Box 30" o:spid="_x0000_s1145" type="#_x0000_t202" style="position:absolute;left:0;text-align:left;margin-left:119.6pt;margin-top:4.65pt;width:323.75pt;height:63pt;z-index:251651072" filled="f" strokecolor="white">
            <v:textbox>
              <w:txbxContent>
                <w:p w:rsidR="00C0327D" w:rsidRDefault="00C0327D">
                  <w:pPr>
                    <w:tabs>
                      <w:tab w:val="left" w:pos="4962"/>
                    </w:tabs>
                    <w:ind w:left="160" w:hangingChars="50" w:hanging="160"/>
                    <w:rPr>
                      <w:rFonts w:ascii="宋体" w:hAnsi="宋体"/>
                      <w:sz w:val="32"/>
                      <w:szCs w:val="32"/>
                      <w:u w:val="single"/>
                    </w:rPr>
                  </w:pPr>
                  <w:r>
                    <w:rPr>
                      <w:rFonts w:ascii="宋体" w:hAnsi="宋体" w:hint="eastAsia"/>
                      <w:sz w:val="32"/>
                      <w:szCs w:val="32"/>
                      <w:u w:val="single"/>
                    </w:rPr>
                    <w:t xml:space="preserve">    </w:t>
                  </w:r>
                  <w:r>
                    <w:rPr>
                      <w:rFonts w:ascii="宋体" w:hAnsi="宋体" w:hint="eastAsia"/>
                      <w:bCs/>
                      <w:sz w:val="32"/>
                      <w:szCs w:val="32"/>
                      <w:u w:val="single"/>
                    </w:rPr>
                    <w:t xml:space="preserve">北京中润达会计师事务所有限公司     </w:t>
                  </w:r>
                </w:p>
                <w:p w:rsidR="00C0327D" w:rsidRDefault="00C0327D">
                  <w:pPr>
                    <w:ind w:firstLine="640"/>
                    <w:rPr>
                      <w:sz w:val="32"/>
                      <w:szCs w:val="32"/>
                    </w:rPr>
                  </w:pPr>
                  <w:r>
                    <w:rPr>
                      <w:rFonts w:hint="eastAsia"/>
                      <w:sz w:val="32"/>
                      <w:szCs w:val="32"/>
                    </w:rPr>
                    <w:t xml:space="preserve">                </w:t>
                  </w:r>
                </w:p>
                <w:p w:rsidR="00C0327D" w:rsidRDefault="00C0327D">
                  <w:pPr>
                    <w:ind w:firstLine="640"/>
                    <w:rPr>
                      <w:sz w:val="32"/>
                      <w:szCs w:val="32"/>
                    </w:rPr>
                  </w:pPr>
                  <w:r>
                    <w:rPr>
                      <w:rFonts w:hint="eastAsia"/>
                      <w:sz w:val="32"/>
                      <w:szCs w:val="32"/>
                    </w:rPr>
                    <w:t xml:space="preserve">                                                                                                                                                                                                               </w:t>
                  </w:r>
                </w:p>
              </w:txbxContent>
            </v:textbox>
          </v:shape>
        </w:pict>
      </w:r>
      <w:r w:rsidR="00C0327D">
        <w:rPr>
          <w:rFonts w:ascii="宋体" w:hAnsi="宋体" w:hint="eastAsia"/>
          <w:b/>
          <w:color w:val="000000"/>
          <w:sz w:val="32"/>
          <w:szCs w:val="32"/>
        </w:rPr>
        <w:t>参与评价</w:t>
      </w:r>
    </w:p>
    <w:p w:rsidR="00C0327D" w:rsidRDefault="00C0327D">
      <w:pPr>
        <w:spacing w:line="360" w:lineRule="auto"/>
        <w:jc w:val="left"/>
        <w:rPr>
          <w:rFonts w:ascii="宋体" w:hAnsi="宋体"/>
          <w:b/>
          <w:color w:val="000000"/>
          <w:sz w:val="32"/>
          <w:szCs w:val="32"/>
        </w:rPr>
      </w:pPr>
      <w:r>
        <w:rPr>
          <w:rFonts w:ascii="宋体" w:hAnsi="宋体" w:hint="eastAsia"/>
          <w:color w:val="000000"/>
          <w:sz w:val="32"/>
          <w:szCs w:val="32"/>
        </w:rPr>
        <w:t xml:space="preserve">       </w:t>
      </w:r>
      <w:r>
        <w:rPr>
          <w:rFonts w:ascii="宋体" w:hAnsi="宋体" w:hint="eastAsia"/>
          <w:b/>
          <w:color w:val="000000"/>
          <w:sz w:val="32"/>
          <w:szCs w:val="32"/>
        </w:rPr>
        <w:t>中介机构</w:t>
      </w:r>
    </w:p>
    <w:p w:rsidR="00C0327D" w:rsidRDefault="00C0327D">
      <w:pPr>
        <w:ind w:firstLineChars="500" w:firstLine="1600"/>
        <w:rPr>
          <w:rFonts w:ascii="宋体" w:hAnsi="宋体"/>
          <w:color w:val="000000"/>
          <w:sz w:val="32"/>
          <w:szCs w:val="32"/>
          <w:u w:val="single"/>
        </w:rPr>
      </w:pPr>
    </w:p>
    <w:p w:rsidR="00C0327D" w:rsidRDefault="00C0327D">
      <w:pPr>
        <w:ind w:firstLineChars="500" w:firstLine="1500"/>
        <w:rPr>
          <w:rFonts w:ascii="宋体" w:hAnsi="宋体"/>
          <w:color w:val="000000"/>
          <w:sz w:val="30"/>
          <w:u w:val="single"/>
        </w:rPr>
      </w:pPr>
    </w:p>
    <w:p w:rsidR="00C0327D" w:rsidRDefault="00C0327D">
      <w:pPr>
        <w:ind w:firstLine="723"/>
        <w:jc w:val="center"/>
        <w:rPr>
          <w:rFonts w:ascii="宋体" w:hAnsi="宋体"/>
          <w:b/>
          <w:color w:val="000000"/>
          <w:sz w:val="36"/>
          <w:szCs w:val="36"/>
        </w:rPr>
      </w:pPr>
      <w:r>
        <w:rPr>
          <w:rFonts w:ascii="宋体" w:hAnsi="宋体" w:hint="eastAsia"/>
          <w:b/>
          <w:color w:val="000000"/>
          <w:sz w:val="36"/>
          <w:szCs w:val="36"/>
        </w:rPr>
        <w:t>北京市财政局</w:t>
      </w:r>
    </w:p>
    <w:p w:rsidR="00C0327D" w:rsidRDefault="00C0327D">
      <w:pPr>
        <w:ind w:firstLine="643"/>
        <w:jc w:val="center"/>
        <w:rPr>
          <w:rFonts w:ascii="宋体" w:hAnsi="宋体"/>
          <w:b/>
          <w:color w:val="000000"/>
          <w:sz w:val="32"/>
          <w:szCs w:val="32"/>
        </w:rPr>
        <w:sectPr w:rsidR="00C0327D">
          <w:headerReference w:type="even" r:id="rId7"/>
          <w:headerReference w:type="default" r:id="rId8"/>
          <w:footerReference w:type="even" r:id="rId9"/>
          <w:footerReference w:type="default" r:id="rId10"/>
          <w:headerReference w:type="first" r:id="rId11"/>
          <w:footerReference w:type="first" r:id="rId12"/>
          <w:pgSz w:w="11906" w:h="16838"/>
          <w:pgMar w:top="2098" w:right="1474" w:bottom="1985" w:left="1588" w:header="851" w:footer="851" w:gutter="0"/>
          <w:cols w:space="720"/>
          <w:titlePg/>
          <w:docGrid w:type="lines" w:linePitch="312"/>
        </w:sectPr>
      </w:pPr>
      <w:r>
        <w:rPr>
          <w:rFonts w:ascii="宋体" w:hAnsi="宋体" w:hint="eastAsia"/>
          <w:b/>
          <w:color w:val="000000"/>
          <w:sz w:val="32"/>
          <w:szCs w:val="32"/>
        </w:rPr>
        <w:t>二</w:t>
      </w:r>
      <w:r>
        <w:rPr>
          <w:rFonts w:ascii="宋体" w:hAnsi="宋体" w:cs="微软雅黑" w:hint="eastAsia"/>
          <w:color w:val="000000"/>
          <w:sz w:val="32"/>
          <w:szCs w:val="32"/>
        </w:rPr>
        <w:t>〇</w:t>
      </w:r>
      <w:r>
        <w:rPr>
          <w:rFonts w:ascii="宋体" w:hAnsi="宋体" w:hint="eastAsia"/>
          <w:b/>
          <w:color w:val="000000"/>
          <w:sz w:val="32"/>
          <w:szCs w:val="32"/>
        </w:rPr>
        <w:t>二</w:t>
      </w:r>
      <w:r>
        <w:rPr>
          <w:rFonts w:ascii="宋体" w:hAnsi="宋体" w:cs="微软雅黑" w:hint="eastAsia"/>
          <w:color w:val="000000"/>
          <w:sz w:val="32"/>
          <w:szCs w:val="32"/>
        </w:rPr>
        <w:t>一</w:t>
      </w:r>
      <w:r>
        <w:rPr>
          <w:rFonts w:ascii="宋体" w:hAnsi="宋体" w:hint="eastAsia"/>
          <w:b/>
          <w:color w:val="000000"/>
          <w:sz w:val="32"/>
          <w:szCs w:val="32"/>
        </w:rPr>
        <w:t>年五月</w:t>
      </w:r>
    </w:p>
    <w:p w:rsidR="00C0327D" w:rsidRDefault="00DF399F">
      <w:pPr>
        <w:tabs>
          <w:tab w:val="left" w:pos="6490"/>
        </w:tabs>
        <w:rPr>
          <w:color w:val="000000"/>
        </w:rPr>
      </w:pPr>
      <w:r w:rsidRPr="00DF399F">
        <w:rPr>
          <w:rFonts w:ascii="宋体" w:hAnsi="宋体"/>
          <w:b/>
          <w:bCs/>
          <w:color w:val="000000"/>
          <w:sz w:val="44"/>
          <w:szCs w:val="44"/>
        </w:rPr>
        <w:lastRenderedPageBreak/>
        <w:pict>
          <v:rect id="矩形 10" o:spid="_x0000_s1159" style="position:absolute;left:0;text-align:left;margin-left:1.55pt;margin-top:1.5pt;width:429.1pt;height:52.5pt;z-index:251652096" wrapcoords="21592 -2 0 0 0 21599 21592 21601 8 21601 21600 21599 21600 0 8 -2 21592 -2" o:gfxdata="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DH1NP12AAAAAgBAAAPAAAAAAAAAAEAIAAAACIAAABkcnMvZG93bnJldi54bWxQSwECFAAUAAAA&#10;CACHTuJA6KyPvCcCAABjBAAADgAAAAAAAAABACAAAAAnAQAAZHJzL2Uyb0RvYy54bWxQSwUGAAAA&#10;AAYABgBZAQAAwAUAAAAA&#10;" fillcolor="#936">
            <v:shadow on="t"/>
            <v:textbox>
              <w:txbxContent>
                <w:p w:rsidR="00C0327D" w:rsidRPr="002343CE" w:rsidRDefault="00C0327D">
                  <w:pPr>
                    <w:tabs>
                      <w:tab w:val="left" w:pos="5760"/>
                    </w:tabs>
                    <w:spacing w:line="360" w:lineRule="auto"/>
                    <w:jc w:val="center"/>
                    <w:rPr>
                      <w:rFonts w:ascii="楷体_GB2312" w:eastAsia="楷体_GB2312" w:hAnsi="宋体"/>
                      <w:b/>
                      <w:color w:val="FFFFFF"/>
                      <w:sz w:val="24"/>
                      <w:szCs w:val="21"/>
                    </w:rPr>
                  </w:pPr>
                  <w:r w:rsidRPr="002343CE">
                    <w:rPr>
                      <w:rFonts w:ascii="楷体_GB2312" w:eastAsia="楷体_GB2312" w:hAnsi="宋体" w:hint="eastAsia"/>
                      <w:b/>
                      <w:color w:val="FFFFFF"/>
                      <w:sz w:val="24"/>
                      <w:szCs w:val="21"/>
                    </w:rPr>
                    <w:t>北京市市场监督管理局“追加2022年冬奥会和冬残奥会食品安全保障检验检测仪器设备配置项目尾款”绩效图片</w:t>
                  </w:r>
                </w:p>
              </w:txbxContent>
            </v:textbox>
            <w10:wrap type="tight"/>
          </v:rect>
        </w:pict>
      </w:r>
      <w:r w:rsidR="00AA531D">
        <w:rPr>
          <w:noProof/>
        </w:rPr>
        <w:drawing>
          <wp:anchor distT="0" distB="0" distL="114300" distR="114300" simplePos="0" relativeHeight="251659264" behindDoc="0" locked="0" layoutInCell="1" allowOverlap="1">
            <wp:simplePos x="0" y="0"/>
            <wp:positionH relativeFrom="column">
              <wp:posOffset>130810</wp:posOffset>
            </wp:positionH>
            <wp:positionV relativeFrom="paragraph">
              <wp:posOffset>75565</wp:posOffset>
            </wp:positionV>
            <wp:extent cx="2569210" cy="2015490"/>
            <wp:effectExtent l="19050" t="0" r="2540" b="0"/>
            <wp:wrapNone/>
            <wp:docPr id="272" name="图片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2"/>
                    <pic:cNvPicPr>
                      <a:picLocks noChangeAspect="1" noChangeArrowheads="1"/>
                    </pic:cNvPicPr>
                  </pic:nvPicPr>
                  <pic:blipFill>
                    <a:blip r:embed="rId13" cstate="print"/>
                    <a:srcRect/>
                    <a:stretch>
                      <a:fillRect/>
                    </a:stretch>
                  </pic:blipFill>
                  <pic:spPr bwMode="auto">
                    <a:xfrm>
                      <a:off x="0" y="0"/>
                      <a:ext cx="2569210" cy="2015490"/>
                    </a:xfrm>
                    <a:prstGeom prst="rect">
                      <a:avLst/>
                    </a:prstGeom>
                    <a:noFill/>
                    <a:ln w="9525">
                      <a:noFill/>
                      <a:miter lim="800000"/>
                      <a:headEnd/>
                      <a:tailEnd/>
                    </a:ln>
                  </pic:spPr>
                </pic:pic>
              </a:graphicData>
            </a:graphic>
          </wp:anchor>
        </w:drawing>
      </w:r>
      <w:r w:rsidR="00AA531D">
        <w:rPr>
          <w:noProof/>
        </w:rPr>
        <w:drawing>
          <wp:anchor distT="0" distB="0" distL="114300" distR="114300" simplePos="0" relativeHeight="251660288" behindDoc="0" locked="0" layoutInCell="1" allowOverlap="1">
            <wp:simplePos x="0" y="0"/>
            <wp:positionH relativeFrom="column">
              <wp:posOffset>3110230</wp:posOffset>
            </wp:positionH>
            <wp:positionV relativeFrom="paragraph">
              <wp:posOffset>75565</wp:posOffset>
            </wp:positionV>
            <wp:extent cx="2491105" cy="2015490"/>
            <wp:effectExtent l="19050" t="0" r="4445" b="0"/>
            <wp:wrapNone/>
            <wp:docPr id="273" name="图片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3"/>
                    <pic:cNvPicPr>
                      <a:picLocks noChangeAspect="1" noChangeArrowheads="1"/>
                    </pic:cNvPicPr>
                  </pic:nvPicPr>
                  <pic:blipFill>
                    <a:blip r:embed="rId14" cstate="print"/>
                    <a:srcRect/>
                    <a:stretch>
                      <a:fillRect/>
                    </a:stretch>
                  </pic:blipFill>
                  <pic:spPr bwMode="auto">
                    <a:xfrm>
                      <a:off x="0" y="0"/>
                      <a:ext cx="2491105" cy="2015490"/>
                    </a:xfrm>
                    <a:prstGeom prst="rect">
                      <a:avLst/>
                    </a:prstGeom>
                    <a:noFill/>
                    <a:ln w="9525">
                      <a:noFill/>
                      <a:miter lim="800000"/>
                      <a:headEnd/>
                      <a:tailEnd/>
                    </a:ln>
                  </pic:spPr>
                </pic:pic>
              </a:graphicData>
            </a:graphic>
          </wp:anchor>
        </w:drawing>
      </w:r>
      <w:r w:rsidR="00C0327D">
        <w:rPr>
          <w:rFonts w:hint="eastAsia"/>
          <w:color w:val="000000"/>
        </w:rPr>
        <w:tab/>
      </w:r>
    </w:p>
    <w:p w:rsidR="00C0327D" w:rsidRDefault="00C0327D">
      <w:pPr>
        <w:tabs>
          <w:tab w:val="left" w:pos="7134"/>
        </w:tabs>
        <w:rPr>
          <w:color w:val="000000"/>
        </w:rPr>
      </w:pPr>
      <w:r>
        <w:rPr>
          <w:rFonts w:hint="eastAsia"/>
          <w:color w:val="000000"/>
        </w:rPr>
        <w:t xml:space="preserve">             </w:t>
      </w:r>
      <w:r>
        <w:rPr>
          <w:rFonts w:hint="eastAsia"/>
          <w:color w:val="000000"/>
        </w:rPr>
        <w:tab/>
      </w:r>
    </w:p>
    <w:p w:rsidR="00C0327D" w:rsidRDefault="00C0327D">
      <w:pPr>
        <w:rPr>
          <w:rFonts w:ascii="宋体" w:hAnsi="宋体"/>
          <w:b/>
          <w:szCs w:val="21"/>
        </w:rPr>
      </w:pPr>
      <w:r>
        <w:rPr>
          <w:rFonts w:ascii="宋体" w:hAnsi="宋体" w:hint="eastAsia"/>
          <w:b/>
          <w:szCs w:val="21"/>
        </w:rPr>
        <w:t xml:space="preserve">                                             </w:t>
      </w:r>
    </w:p>
    <w:p w:rsidR="00C0327D" w:rsidRDefault="00C0327D">
      <w:pPr>
        <w:rPr>
          <w:rFonts w:ascii="宋体" w:hAnsi="宋体"/>
          <w:b/>
          <w:szCs w:val="21"/>
        </w:rPr>
      </w:pPr>
      <w:r>
        <w:rPr>
          <w:rFonts w:ascii="宋体" w:hAnsi="宋体" w:hint="eastAsia"/>
          <w:b/>
          <w:szCs w:val="21"/>
        </w:rPr>
        <w:t xml:space="preserve">                                              </w:t>
      </w:r>
    </w:p>
    <w:p w:rsidR="00C0327D" w:rsidRDefault="00C0327D">
      <w:pPr>
        <w:rPr>
          <w:rFonts w:ascii="宋体" w:hAnsi="宋体"/>
          <w:b/>
          <w:szCs w:val="21"/>
        </w:rPr>
      </w:pPr>
    </w:p>
    <w:p w:rsidR="00C0327D" w:rsidRDefault="00C0327D">
      <w:pPr>
        <w:rPr>
          <w:color w:val="000000"/>
        </w:rPr>
      </w:pPr>
    </w:p>
    <w:p w:rsidR="00C0327D" w:rsidRDefault="00C0327D">
      <w:pPr>
        <w:rPr>
          <w:color w:val="000000"/>
        </w:rPr>
      </w:pPr>
    </w:p>
    <w:p w:rsidR="00C0327D" w:rsidRDefault="00C0327D">
      <w:pPr>
        <w:rPr>
          <w:color w:val="000000"/>
        </w:rPr>
        <w:sectPr w:rsidR="00C0327D">
          <w:footerReference w:type="default" r:id="rId15"/>
          <w:footerReference w:type="first" r:id="rId16"/>
          <w:pgSz w:w="11906" w:h="16838"/>
          <w:pgMar w:top="1440" w:right="1797" w:bottom="1440" w:left="1797" w:header="851" w:footer="851" w:gutter="0"/>
          <w:pgNumType w:start="1"/>
          <w:cols w:space="720"/>
          <w:titlePg/>
          <w:docGrid w:type="lines" w:linePitch="312"/>
        </w:sectPr>
      </w:pPr>
    </w:p>
    <w:p w:rsidR="00C0327D" w:rsidRDefault="00C0327D">
      <w:pPr>
        <w:rPr>
          <w:color w:val="000000"/>
        </w:rPr>
      </w:pPr>
    </w:p>
    <w:p w:rsidR="00C0327D" w:rsidRDefault="00C0327D">
      <w:pPr>
        <w:ind w:firstLineChars="147" w:firstLine="310"/>
        <w:rPr>
          <w:b/>
          <w:bCs/>
          <w:color w:val="000000"/>
        </w:rPr>
      </w:pPr>
    </w:p>
    <w:p w:rsidR="00C0327D" w:rsidRDefault="00C0327D">
      <w:pPr>
        <w:ind w:firstLineChars="147" w:firstLine="310"/>
        <w:rPr>
          <w:b/>
          <w:bCs/>
          <w:color w:val="000000"/>
        </w:rPr>
      </w:pPr>
    </w:p>
    <w:p w:rsidR="00C0327D" w:rsidRDefault="00DF399F" w:rsidP="002343CE">
      <w:pPr>
        <w:ind w:firstLineChars="147" w:firstLine="309"/>
        <w:rPr>
          <w:b/>
          <w:bCs/>
          <w:color w:val="000000"/>
        </w:rPr>
      </w:pPr>
      <w:r w:rsidRPr="00DF399F">
        <w:pict>
          <v:shape id="文本框 164" o:spid="_x0000_s1188" type="#_x0000_t202" style="position:absolute;left:0;text-align:left;margin-left:1.55pt;margin-top:13.7pt;width:198.9pt;height:26.85pt;z-index:251657216" stroked="f">
            <v:textbox>
              <w:txbxContent>
                <w:p w:rsidR="00C0327D" w:rsidRDefault="00C0327D">
                  <w:pPr>
                    <w:jc w:val="center"/>
                    <w:rPr>
                      <w:b/>
                      <w:bCs/>
                    </w:rPr>
                  </w:pPr>
                  <w:r>
                    <w:rPr>
                      <w:rFonts w:hint="eastAsia"/>
                      <w:b/>
                      <w:bCs/>
                    </w:rPr>
                    <w:t>奥组委参观指导</w:t>
                  </w:r>
                </w:p>
              </w:txbxContent>
            </v:textbox>
          </v:shape>
        </w:pict>
      </w:r>
    </w:p>
    <w:p w:rsidR="00C0327D" w:rsidRDefault="00C0327D">
      <w:pPr>
        <w:ind w:firstLineChars="147" w:firstLine="310"/>
        <w:rPr>
          <w:b/>
          <w:bCs/>
          <w:color w:val="000000"/>
        </w:rPr>
      </w:pPr>
    </w:p>
    <w:p w:rsidR="00C0327D" w:rsidRDefault="00C0327D">
      <w:pPr>
        <w:ind w:firstLineChars="147" w:firstLine="310"/>
        <w:rPr>
          <w:b/>
          <w:bCs/>
          <w:color w:val="000000"/>
        </w:rPr>
      </w:pPr>
    </w:p>
    <w:p w:rsidR="00C0327D" w:rsidRDefault="00C0327D">
      <w:pPr>
        <w:ind w:firstLineChars="147" w:firstLine="310"/>
        <w:rPr>
          <w:b/>
          <w:bCs/>
          <w:color w:val="000000"/>
        </w:rPr>
      </w:pPr>
    </w:p>
    <w:p w:rsidR="00C0327D" w:rsidRDefault="00DF399F">
      <w:pPr>
        <w:rPr>
          <w:b/>
          <w:bCs/>
          <w:color w:val="000000"/>
        </w:rPr>
        <w:sectPr w:rsidR="00C0327D">
          <w:type w:val="continuous"/>
          <w:pgSz w:w="11906" w:h="16838"/>
          <w:pgMar w:top="1440" w:right="1797" w:bottom="1440" w:left="1797" w:header="851" w:footer="851" w:gutter="0"/>
          <w:pgNumType w:start="1"/>
          <w:cols w:num="2" w:space="425" w:equalWidth="0">
            <w:col w:w="3943" w:space="425"/>
            <w:col w:w="3943"/>
          </w:cols>
          <w:titlePg/>
          <w:docGrid w:type="lines" w:linePitch="312"/>
        </w:sectPr>
      </w:pPr>
      <w:r w:rsidRPr="00DF399F">
        <w:pict>
          <v:shape id="文本框 165" o:spid="_x0000_s1189" type="#_x0000_t202" style="position:absolute;left:0;text-align:left;margin-left:26.5pt;margin-top:13.7pt;width:196.15pt;height:26.85pt;z-index:251658240" stroked="f">
            <v:textbox>
              <w:txbxContent>
                <w:p w:rsidR="00C0327D" w:rsidRDefault="00C0327D">
                  <w:pPr>
                    <w:jc w:val="center"/>
                  </w:pPr>
                  <w:r>
                    <w:rPr>
                      <w:rFonts w:ascii="宋体" w:hAnsi="宋体" w:hint="eastAsia"/>
                      <w:b/>
                      <w:szCs w:val="21"/>
                    </w:rPr>
                    <w:t>项目工作汇报会</w:t>
                  </w:r>
                </w:p>
              </w:txbxContent>
            </v:textbox>
          </v:shape>
        </w:pict>
      </w:r>
      <w:r w:rsidR="00C0327D">
        <w:rPr>
          <w:rFonts w:ascii="宋体" w:hAnsi="宋体" w:hint="eastAsia"/>
          <w:b/>
          <w:szCs w:val="21"/>
        </w:rPr>
        <w:t xml:space="preserve">       </w:t>
      </w:r>
    </w:p>
    <w:p w:rsidR="00C0327D" w:rsidRDefault="00C0327D">
      <w:pPr>
        <w:ind w:firstLineChars="396" w:firstLine="835"/>
        <w:rPr>
          <w:b/>
          <w:bCs/>
          <w:color w:val="000000"/>
        </w:rPr>
      </w:pPr>
      <w:r>
        <w:rPr>
          <w:rFonts w:hint="eastAsia"/>
          <w:b/>
          <w:bCs/>
          <w:color w:val="000000"/>
        </w:rPr>
        <w:lastRenderedPageBreak/>
        <w:t xml:space="preserve">           </w:t>
      </w:r>
    </w:p>
    <w:p w:rsidR="00C0327D" w:rsidRDefault="00C0327D">
      <w:pPr>
        <w:ind w:firstLineChars="396" w:firstLine="835"/>
        <w:rPr>
          <w:b/>
          <w:bCs/>
          <w:color w:val="000000"/>
        </w:rPr>
      </w:pPr>
    </w:p>
    <w:p w:rsidR="00C0327D" w:rsidRDefault="00AA531D" w:rsidP="002343CE">
      <w:pPr>
        <w:ind w:firstLineChars="396" w:firstLine="832"/>
        <w:rPr>
          <w:b/>
          <w:bCs/>
          <w:color w:val="000000"/>
        </w:rPr>
      </w:pPr>
      <w:r>
        <w:rPr>
          <w:noProof/>
        </w:rPr>
        <w:drawing>
          <wp:anchor distT="0" distB="0" distL="114300" distR="114300" simplePos="0" relativeHeight="251662336" behindDoc="0" locked="0" layoutInCell="1" allowOverlap="1">
            <wp:simplePos x="0" y="0"/>
            <wp:positionH relativeFrom="column">
              <wp:posOffset>3110230</wp:posOffset>
            </wp:positionH>
            <wp:positionV relativeFrom="paragraph">
              <wp:posOffset>92710</wp:posOffset>
            </wp:positionV>
            <wp:extent cx="2530475" cy="2008505"/>
            <wp:effectExtent l="19050" t="0" r="3175" b="0"/>
            <wp:wrapNone/>
            <wp:docPr id="275" name="图片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5"/>
                    <pic:cNvPicPr>
                      <a:picLocks noChangeAspect="1" noChangeArrowheads="1"/>
                    </pic:cNvPicPr>
                  </pic:nvPicPr>
                  <pic:blipFill>
                    <a:blip r:embed="rId17" cstate="print"/>
                    <a:srcRect/>
                    <a:stretch>
                      <a:fillRect/>
                    </a:stretch>
                  </pic:blipFill>
                  <pic:spPr bwMode="auto">
                    <a:xfrm>
                      <a:off x="0" y="0"/>
                      <a:ext cx="2530475" cy="2008505"/>
                    </a:xfrm>
                    <a:prstGeom prst="rect">
                      <a:avLst/>
                    </a:prstGeom>
                    <a:noFill/>
                    <a:ln w="9525">
                      <a:noFill/>
                      <a:miter lim="800000"/>
                      <a:headEnd/>
                      <a:tailEnd/>
                    </a:ln>
                  </pic:spPr>
                </pic:pic>
              </a:graphicData>
            </a:graphic>
          </wp:anchor>
        </w:drawing>
      </w:r>
      <w:r>
        <w:rPr>
          <w:noProof/>
        </w:rPr>
        <w:drawing>
          <wp:anchor distT="0" distB="0" distL="114300" distR="114300" simplePos="0" relativeHeight="251661312" behindDoc="0" locked="0" layoutInCell="1" allowOverlap="1">
            <wp:simplePos x="0" y="0"/>
            <wp:positionH relativeFrom="column">
              <wp:posOffset>168910</wp:posOffset>
            </wp:positionH>
            <wp:positionV relativeFrom="paragraph">
              <wp:posOffset>92710</wp:posOffset>
            </wp:positionV>
            <wp:extent cx="2556510" cy="2008505"/>
            <wp:effectExtent l="19050" t="0" r="0" b="0"/>
            <wp:wrapNone/>
            <wp:docPr id="274" name="图片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4"/>
                    <pic:cNvPicPr>
                      <a:picLocks noChangeAspect="1" noChangeArrowheads="1"/>
                    </pic:cNvPicPr>
                  </pic:nvPicPr>
                  <pic:blipFill>
                    <a:blip r:embed="rId18" cstate="print"/>
                    <a:srcRect/>
                    <a:stretch>
                      <a:fillRect/>
                    </a:stretch>
                  </pic:blipFill>
                  <pic:spPr bwMode="auto">
                    <a:xfrm>
                      <a:off x="0" y="0"/>
                      <a:ext cx="2556510" cy="2008505"/>
                    </a:xfrm>
                    <a:prstGeom prst="rect">
                      <a:avLst/>
                    </a:prstGeom>
                    <a:noFill/>
                    <a:ln w="9525">
                      <a:noFill/>
                      <a:miter lim="800000"/>
                      <a:headEnd/>
                      <a:tailEnd/>
                    </a:ln>
                  </pic:spPr>
                </pic:pic>
              </a:graphicData>
            </a:graphic>
          </wp:anchor>
        </w:drawing>
      </w:r>
    </w:p>
    <w:p w:rsidR="00C0327D" w:rsidRDefault="00C0327D">
      <w:pPr>
        <w:ind w:firstLineChars="396" w:firstLine="835"/>
        <w:rPr>
          <w:b/>
          <w:bCs/>
          <w:color w:val="000000"/>
        </w:rPr>
      </w:pPr>
    </w:p>
    <w:p w:rsidR="00C0327D" w:rsidRDefault="00C0327D">
      <w:pPr>
        <w:ind w:firstLineChars="396" w:firstLine="835"/>
        <w:rPr>
          <w:b/>
          <w:bCs/>
          <w:color w:val="000000"/>
        </w:rPr>
      </w:pPr>
    </w:p>
    <w:p w:rsidR="00C0327D" w:rsidRDefault="00C0327D">
      <w:pPr>
        <w:ind w:firstLineChars="396" w:firstLine="835"/>
        <w:rPr>
          <w:b/>
          <w:bCs/>
          <w:color w:val="000000"/>
        </w:rPr>
      </w:pPr>
    </w:p>
    <w:p w:rsidR="00C0327D" w:rsidRDefault="00C0327D">
      <w:pPr>
        <w:ind w:firstLineChars="396" w:firstLine="835"/>
        <w:rPr>
          <w:b/>
          <w:bCs/>
          <w:color w:val="000000"/>
        </w:rPr>
      </w:pPr>
    </w:p>
    <w:p w:rsidR="00C0327D" w:rsidRDefault="00C0327D">
      <w:pPr>
        <w:jc w:val="center"/>
        <w:rPr>
          <w:rFonts w:ascii="宋体" w:hAnsi="宋体"/>
          <w:b/>
          <w:bCs/>
          <w:color w:val="000000"/>
          <w:sz w:val="44"/>
          <w:szCs w:val="44"/>
        </w:rPr>
      </w:pPr>
      <w:r>
        <w:rPr>
          <w:rFonts w:ascii="宋体" w:hAnsi="宋体" w:hint="eastAsia"/>
          <w:b/>
          <w:bCs/>
          <w:color w:val="000000"/>
          <w:sz w:val="44"/>
          <w:szCs w:val="44"/>
        </w:rPr>
        <w:t xml:space="preserve">    </w:t>
      </w:r>
    </w:p>
    <w:p w:rsidR="00C0327D" w:rsidRDefault="00C0327D">
      <w:pPr>
        <w:jc w:val="center"/>
        <w:rPr>
          <w:rFonts w:ascii="宋体" w:hAnsi="宋体"/>
          <w:b/>
          <w:bCs/>
          <w:color w:val="000000"/>
          <w:sz w:val="44"/>
          <w:szCs w:val="44"/>
        </w:rPr>
      </w:pPr>
    </w:p>
    <w:p w:rsidR="00C0327D" w:rsidRDefault="00DF399F">
      <w:pPr>
        <w:jc w:val="center"/>
        <w:rPr>
          <w:rFonts w:ascii="宋体" w:hAnsi="宋体"/>
          <w:b/>
          <w:bCs/>
          <w:color w:val="000000"/>
          <w:sz w:val="44"/>
          <w:szCs w:val="44"/>
        </w:rPr>
      </w:pPr>
      <w:r w:rsidRPr="00DF399F">
        <w:pict>
          <v:shape id="文本框 160" o:spid="_x0000_s1184" type="#_x0000_t202" style="position:absolute;left:0;text-align:left;margin-left:13.3pt;margin-top:29.75pt;width:187.8pt;height:41.05pt;z-index:251654144" stroked="f">
            <v:textbox>
              <w:txbxContent>
                <w:p w:rsidR="00C0327D" w:rsidRDefault="00C0327D">
                  <w:pPr>
                    <w:jc w:val="center"/>
                    <w:rPr>
                      <w:rFonts w:ascii="宋体" w:hAnsi="宋体"/>
                      <w:b/>
                    </w:rPr>
                  </w:pPr>
                  <w:r>
                    <w:rPr>
                      <w:rFonts w:ascii="宋体" w:hAnsi="宋体" w:hint="eastAsia"/>
                      <w:b/>
                    </w:rPr>
                    <w:t>光谱室检测</w:t>
                  </w:r>
                </w:p>
              </w:txbxContent>
            </v:textbox>
          </v:shape>
        </w:pict>
      </w:r>
    </w:p>
    <w:p w:rsidR="00C0327D" w:rsidRDefault="00DF399F">
      <w:pPr>
        <w:jc w:val="center"/>
        <w:rPr>
          <w:rFonts w:ascii="宋体" w:hAnsi="宋体"/>
          <w:b/>
          <w:bCs/>
          <w:color w:val="000000"/>
          <w:sz w:val="44"/>
          <w:szCs w:val="44"/>
        </w:rPr>
      </w:pPr>
      <w:r w:rsidRPr="00DF399F">
        <w:pict>
          <v:shape id="文本框 162" o:spid="_x0000_s1186" type="#_x0000_t202" style="position:absolute;left:0;text-align:left;margin-left:242.95pt;margin-top:.35pt;width:193.85pt;height:22.9pt;z-index:251655168" stroked="f">
            <v:textbox>
              <w:txbxContent>
                <w:p w:rsidR="00C0327D" w:rsidRDefault="00C0327D">
                  <w:pPr>
                    <w:jc w:val="center"/>
                    <w:rPr>
                      <w:b/>
                    </w:rPr>
                  </w:pPr>
                  <w:r>
                    <w:rPr>
                      <w:rFonts w:hint="eastAsia"/>
                      <w:b/>
                    </w:rPr>
                    <w:t>色谱室检测</w:t>
                  </w:r>
                </w:p>
                <w:p w:rsidR="00C0327D" w:rsidRDefault="00C0327D"/>
              </w:txbxContent>
            </v:textbox>
          </v:shape>
        </w:pict>
      </w:r>
    </w:p>
    <w:p w:rsidR="00C0327D" w:rsidRDefault="00AA531D">
      <w:pPr>
        <w:jc w:val="center"/>
        <w:rPr>
          <w:rFonts w:ascii="宋体" w:hAnsi="宋体"/>
          <w:b/>
          <w:bCs/>
          <w:color w:val="000000"/>
          <w:sz w:val="44"/>
          <w:szCs w:val="44"/>
        </w:rPr>
      </w:pPr>
      <w:r>
        <w:rPr>
          <w:noProof/>
        </w:rPr>
        <w:drawing>
          <wp:anchor distT="0" distB="0" distL="114300" distR="114300" simplePos="0" relativeHeight="251664384" behindDoc="0" locked="0" layoutInCell="1" allowOverlap="1">
            <wp:simplePos x="0" y="0"/>
            <wp:positionH relativeFrom="column">
              <wp:posOffset>3154680</wp:posOffset>
            </wp:positionH>
            <wp:positionV relativeFrom="paragraph">
              <wp:posOffset>80010</wp:posOffset>
            </wp:positionV>
            <wp:extent cx="2486025" cy="2043430"/>
            <wp:effectExtent l="19050" t="0" r="9525" b="0"/>
            <wp:wrapNone/>
            <wp:docPr id="277" name="图片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7"/>
                    <pic:cNvPicPr>
                      <a:picLocks noChangeAspect="1" noChangeArrowheads="1"/>
                    </pic:cNvPicPr>
                  </pic:nvPicPr>
                  <pic:blipFill>
                    <a:blip r:embed="rId19" cstate="print"/>
                    <a:srcRect/>
                    <a:stretch>
                      <a:fillRect/>
                    </a:stretch>
                  </pic:blipFill>
                  <pic:spPr bwMode="auto">
                    <a:xfrm>
                      <a:off x="0" y="0"/>
                      <a:ext cx="2486025" cy="2043430"/>
                    </a:xfrm>
                    <a:prstGeom prst="rect">
                      <a:avLst/>
                    </a:prstGeom>
                    <a:noFill/>
                    <a:ln w="9525">
                      <a:noFill/>
                      <a:miter lim="800000"/>
                      <a:headEnd/>
                      <a:tailEnd/>
                    </a:ln>
                  </pic:spPr>
                </pic:pic>
              </a:graphicData>
            </a:graphic>
          </wp:anchor>
        </w:drawing>
      </w:r>
      <w:r>
        <w:rPr>
          <w:noProof/>
        </w:rPr>
        <w:drawing>
          <wp:anchor distT="0" distB="0" distL="114300" distR="114300" simplePos="0" relativeHeight="251663360" behindDoc="0" locked="0" layoutInCell="1" allowOverlap="1">
            <wp:simplePos x="0" y="0"/>
            <wp:positionH relativeFrom="column">
              <wp:posOffset>201930</wp:posOffset>
            </wp:positionH>
            <wp:positionV relativeFrom="paragraph">
              <wp:posOffset>80010</wp:posOffset>
            </wp:positionV>
            <wp:extent cx="2590800" cy="2043430"/>
            <wp:effectExtent l="19050" t="0" r="0" b="0"/>
            <wp:wrapNone/>
            <wp:docPr id="276" name="图片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6"/>
                    <pic:cNvPicPr>
                      <a:picLocks noChangeAspect="1" noChangeArrowheads="1"/>
                    </pic:cNvPicPr>
                  </pic:nvPicPr>
                  <pic:blipFill>
                    <a:blip r:embed="rId20" cstate="print"/>
                    <a:srcRect/>
                    <a:stretch>
                      <a:fillRect/>
                    </a:stretch>
                  </pic:blipFill>
                  <pic:spPr bwMode="auto">
                    <a:xfrm>
                      <a:off x="0" y="0"/>
                      <a:ext cx="2590800" cy="2043430"/>
                    </a:xfrm>
                    <a:prstGeom prst="rect">
                      <a:avLst/>
                    </a:prstGeom>
                    <a:noFill/>
                    <a:ln w="9525">
                      <a:noFill/>
                      <a:miter lim="800000"/>
                      <a:headEnd/>
                      <a:tailEnd/>
                    </a:ln>
                  </pic:spPr>
                </pic:pic>
              </a:graphicData>
            </a:graphic>
          </wp:anchor>
        </w:drawing>
      </w:r>
    </w:p>
    <w:p w:rsidR="00C0327D" w:rsidRDefault="00C0327D">
      <w:pPr>
        <w:jc w:val="center"/>
        <w:rPr>
          <w:rFonts w:ascii="宋体" w:hAnsi="宋体"/>
          <w:b/>
          <w:bCs/>
          <w:color w:val="000000"/>
          <w:sz w:val="44"/>
          <w:szCs w:val="44"/>
        </w:rPr>
      </w:pPr>
    </w:p>
    <w:p w:rsidR="00C0327D" w:rsidRDefault="00C0327D">
      <w:pPr>
        <w:jc w:val="center"/>
        <w:rPr>
          <w:rFonts w:ascii="宋体" w:hAnsi="宋体"/>
          <w:b/>
          <w:bCs/>
          <w:color w:val="000000"/>
          <w:sz w:val="44"/>
          <w:szCs w:val="44"/>
        </w:rPr>
      </w:pPr>
    </w:p>
    <w:p w:rsidR="00C0327D" w:rsidRDefault="00C0327D">
      <w:pPr>
        <w:jc w:val="center"/>
        <w:rPr>
          <w:rFonts w:ascii="宋体" w:hAnsi="宋体"/>
          <w:b/>
          <w:bCs/>
          <w:color w:val="000000"/>
          <w:sz w:val="44"/>
          <w:szCs w:val="44"/>
        </w:rPr>
      </w:pPr>
    </w:p>
    <w:p w:rsidR="00C0327D" w:rsidRDefault="00C0327D">
      <w:pPr>
        <w:jc w:val="center"/>
        <w:rPr>
          <w:rFonts w:ascii="宋体" w:hAnsi="宋体"/>
          <w:b/>
          <w:bCs/>
          <w:color w:val="000000"/>
          <w:sz w:val="44"/>
          <w:szCs w:val="44"/>
        </w:rPr>
      </w:pPr>
    </w:p>
    <w:p w:rsidR="00C0327D" w:rsidRDefault="00DF399F">
      <w:pPr>
        <w:jc w:val="center"/>
        <w:rPr>
          <w:rFonts w:ascii="宋体" w:hAnsi="宋体"/>
          <w:b/>
          <w:bCs/>
          <w:color w:val="000000"/>
          <w:sz w:val="44"/>
          <w:szCs w:val="44"/>
        </w:rPr>
      </w:pPr>
      <w:r w:rsidRPr="00DF399F">
        <w:rPr>
          <w:sz w:val="44"/>
        </w:rPr>
        <w:pict>
          <v:shape id="文本框 163" o:spid="_x0000_s1187" type="#_x0000_t202" style="position:absolute;left:0;text-align:left;margin-left:18.45pt;margin-top:22.65pt;width:184.5pt;height:37.15pt;z-index:251656192" stroked="f">
            <v:textbox>
              <w:txbxContent>
                <w:p w:rsidR="00C0327D" w:rsidRDefault="00C0327D">
                  <w:pPr>
                    <w:jc w:val="center"/>
                    <w:rPr>
                      <w:b/>
                      <w:bCs/>
                    </w:rPr>
                  </w:pPr>
                  <w:r>
                    <w:rPr>
                      <w:rFonts w:hint="eastAsia"/>
                      <w:b/>
                      <w:bCs/>
                    </w:rPr>
                    <w:t>生物室检测</w:t>
                  </w:r>
                </w:p>
              </w:txbxContent>
            </v:textbox>
          </v:shape>
        </w:pict>
      </w:r>
      <w:r w:rsidRPr="00DF399F">
        <w:pict>
          <v:shape id="文本框 157" o:spid="_x0000_s1181" type="#_x0000_t202" style="position:absolute;left:0;text-align:left;margin-left:245.85pt;margin-top:17.75pt;width:182.8pt;height:43.15pt;z-index:251653120" stroked="f">
            <v:textbox>
              <w:txbxContent>
                <w:p w:rsidR="00C0327D" w:rsidRDefault="00C0327D">
                  <w:pPr>
                    <w:ind w:firstLineChars="147" w:firstLine="310"/>
                    <w:jc w:val="center"/>
                    <w:rPr>
                      <w:b/>
                      <w:bCs/>
                      <w:color w:val="000000"/>
                    </w:rPr>
                  </w:pPr>
                  <w:r>
                    <w:rPr>
                      <w:rFonts w:hint="eastAsia"/>
                      <w:b/>
                      <w:bCs/>
                    </w:rPr>
                    <w:t>实验室开放</w:t>
                  </w:r>
                </w:p>
                <w:p w:rsidR="00C0327D" w:rsidRDefault="00C0327D"/>
              </w:txbxContent>
            </v:textbox>
          </v:shape>
        </w:pict>
      </w:r>
    </w:p>
    <w:p w:rsidR="00C0327D" w:rsidRDefault="00C0327D">
      <w:pPr>
        <w:jc w:val="center"/>
        <w:rPr>
          <w:rFonts w:ascii="宋体" w:hAnsi="宋体"/>
          <w:b/>
          <w:bCs/>
          <w:color w:val="000000"/>
          <w:sz w:val="44"/>
          <w:szCs w:val="44"/>
        </w:rPr>
      </w:pPr>
    </w:p>
    <w:p w:rsidR="00C0327D" w:rsidRDefault="00C0327D">
      <w:pPr>
        <w:jc w:val="center"/>
        <w:rPr>
          <w:rFonts w:ascii="仿宋" w:eastAsia="仿宋" w:hAnsi="仿宋"/>
          <w:b/>
          <w:bCs/>
          <w:color w:val="000000"/>
          <w:sz w:val="28"/>
          <w:szCs w:val="28"/>
        </w:rPr>
      </w:pPr>
    </w:p>
    <w:p w:rsidR="00C0327D" w:rsidRDefault="00C0327D">
      <w:pPr>
        <w:jc w:val="center"/>
        <w:rPr>
          <w:rFonts w:ascii="仿宋" w:eastAsia="仿宋" w:hAnsi="仿宋"/>
          <w:b/>
          <w:bCs/>
          <w:color w:val="000000"/>
          <w:sz w:val="28"/>
          <w:szCs w:val="28"/>
        </w:rPr>
      </w:pPr>
      <w:r>
        <w:rPr>
          <w:rFonts w:ascii="仿宋" w:eastAsia="仿宋" w:hAnsi="仿宋" w:hint="eastAsia"/>
          <w:b/>
          <w:bCs/>
          <w:color w:val="000000"/>
          <w:sz w:val="28"/>
          <w:szCs w:val="28"/>
        </w:rPr>
        <w:t>目   录</w:t>
      </w:r>
    </w:p>
    <w:p w:rsidR="009F707E" w:rsidRPr="009F707E" w:rsidRDefault="00DF399F">
      <w:pPr>
        <w:pStyle w:val="10"/>
        <w:rPr>
          <w:rFonts w:ascii="仿宋" w:eastAsia="仿宋" w:hAnsi="仿宋"/>
          <w:b w:val="0"/>
          <w:noProof/>
          <w:sz w:val="28"/>
          <w:szCs w:val="28"/>
        </w:rPr>
      </w:pPr>
      <w:r w:rsidRPr="00DF399F">
        <w:rPr>
          <w:rFonts w:ascii="仿宋" w:eastAsia="仿宋" w:hAnsi="仿宋" w:hint="eastAsia"/>
          <w:bCs/>
          <w:color w:val="000000"/>
          <w:sz w:val="28"/>
          <w:szCs w:val="28"/>
        </w:rPr>
        <w:fldChar w:fldCharType="begin"/>
      </w:r>
      <w:r w:rsidR="00C0327D" w:rsidRPr="00681B83">
        <w:rPr>
          <w:rFonts w:ascii="仿宋" w:eastAsia="仿宋" w:hAnsi="仿宋" w:hint="eastAsia"/>
          <w:bCs/>
          <w:color w:val="000000"/>
          <w:sz w:val="28"/>
          <w:szCs w:val="28"/>
        </w:rPr>
        <w:instrText xml:space="preserve"> TOC \o "1-2" \h \z \u </w:instrText>
      </w:r>
      <w:r w:rsidRPr="00DF399F">
        <w:rPr>
          <w:rFonts w:ascii="仿宋" w:eastAsia="仿宋" w:hAnsi="仿宋" w:hint="eastAsia"/>
          <w:bCs/>
          <w:color w:val="000000"/>
          <w:sz w:val="28"/>
          <w:szCs w:val="28"/>
        </w:rPr>
        <w:fldChar w:fldCharType="separate"/>
      </w:r>
      <w:hyperlink w:anchor="_Toc72500590" w:history="1">
        <w:r w:rsidR="009F707E" w:rsidRPr="009F707E">
          <w:rPr>
            <w:rStyle w:val="ac"/>
            <w:rFonts w:ascii="仿宋" w:eastAsia="仿宋" w:hAnsi="仿宋" w:hint="eastAsia"/>
            <w:noProof/>
            <w:sz w:val="28"/>
            <w:szCs w:val="28"/>
          </w:rPr>
          <w:t>一、基本情况</w:t>
        </w:r>
        <w:r w:rsidR="009F707E" w:rsidRPr="009F707E">
          <w:rPr>
            <w:rFonts w:ascii="仿宋" w:eastAsia="仿宋" w:hAnsi="仿宋"/>
            <w:noProof/>
            <w:webHidden/>
            <w:sz w:val="28"/>
            <w:szCs w:val="28"/>
          </w:rPr>
          <w:tab/>
        </w:r>
        <w:r w:rsidRPr="009F707E">
          <w:rPr>
            <w:rFonts w:ascii="仿宋" w:eastAsia="仿宋" w:hAnsi="仿宋"/>
            <w:noProof/>
            <w:webHidden/>
            <w:sz w:val="28"/>
            <w:szCs w:val="28"/>
          </w:rPr>
          <w:fldChar w:fldCharType="begin"/>
        </w:r>
        <w:r w:rsidR="009F707E" w:rsidRPr="009F707E">
          <w:rPr>
            <w:rFonts w:ascii="仿宋" w:eastAsia="仿宋" w:hAnsi="仿宋"/>
            <w:noProof/>
            <w:webHidden/>
            <w:sz w:val="28"/>
            <w:szCs w:val="28"/>
          </w:rPr>
          <w:instrText xml:space="preserve"> PAGEREF _Toc72500590 \h </w:instrText>
        </w:r>
        <w:r w:rsidRPr="009F707E">
          <w:rPr>
            <w:rFonts w:ascii="仿宋" w:eastAsia="仿宋" w:hAnsi="仿宋"/>
            <w:noProof/>
            <w:webHidden/>
            <w:sz w:val="28"/>
            <w:szCs w:val="28"/>
          </w:rPr>
        </w:r>
        <w:r w:rsidRPr="009F707E">
          <w:rPr>
            <w:rFonts w:ascii="仿宋" w:eastAsia="仿宋" w:hAnsi="仿宋"/>
            <w:noProof/>
            <w:webHidden/>
            <w:sz w:val="28"/>
            <w:szCs w:val="28"/>
          </w:rPr>
          <w:fldChar w:fldCharType="separate"/>
        </w:r>
        <w:r w:rsidR="009F707E" w:rsidRPr="009F707E">
          <w:rPr>
            <w:rFonts w:ascii="仿宋" w:eastAsia="仿宋" w:hAnsi="仿宋"/>
            <w:noProof/>
            <w:webHidden/>
            <w:sz w:val="28"/>
            <w:szCs w:val="28"/>
          </w:rPr>
          <w:t>1</w:t>
        </w:r>
        <w:r w:rsidRPr="009F707E">
          <w:rPr>
            <w:rFonts w:ascii="仿宋" w:eastAsia="仿宋" w:hAnsi="仿宋"/>
            <w:noProof/>
            <w:webHidden/>
            <w:sz w:val="28"/>
            <w:szCs w:val="28"/>
          </w:rPr>
          <w:fldChar w:fldCharType="end"/>
        </w:r>
      </w:hyperlink>
    </w:p>
    <w:p w:rsidR="009F707E" w:rsidRPr="009F707E" w:rsidRDefault="00DF399F">
      <w:pPr>
        <w:pStyle w:val="20"/>
        <w:rPr>
          <w:rFonts w:ascii="仿宋" w:eastAsia="仿宋" w:hAnsi="仿宋"/>
          <w:noProof/>
          <w:sz w:val="28"/>
          <w:szCs w:val="28"/>
        </w:rPr>
      </w:pPr>
      <w:hyperlink w:anchor="_Toc72500591" w:history="1">
        <w:r w:rsidR="009F707E" w:rsidRPr="009F707E">
          <w:rPr>
            <w:rStyle w:val="ac"/>
            <w:rFonts w:ascii="仿宋" w:eastAsia="仿宋" w:hAnsi="仿宋" w:hint="eastAsia"/>
            <w:noProof/>
            <w:sz w:val="28"/>
            <w:szCs w:val="28"/>
          </w:rPr>
          <w:t>（一）项目概况</w:t>
        </w:r>
        <w:r w:rsidR="009F707E" w:rsidRPr="009F707E">
          <w:rPr>
            <w:rFonts w:ascii="仿宋" w:eastAsia="仿宋" w:hAnsi="仿宋"/>
            <w:noProof/>
            <w:webHidden/>
            <w:sz w:val="28"/>
            <w:szCs w:val="28"/>
          </w:rPr>
          <w:tab/>
        </w:r>
        <w:r w:rsidRPr="009F707E">
          <w:rPr>
            <w:rFonts w:ascii="仿宋" w:eastAsia="仿宋" w:hAnsi="仿宋"/>
            <w:noProof/>
            <w:webHidden/>
            <w:sz w:val="28"/>
            <w:szCs w:val="28"/>
          </w:rPr>
          <w:fldChar w:fldCharType="begin"/>
        </w:r>
        <w:r w:rsidR="009F707E" w:rsidRPr="009F707E">
          <w:rPr>
            <w:rFonts w:ascii="仿宋" w:eastAsia="仿宋" w:hAnsi="仿宋"/>
            <w:noProof/>
            <w:webHidden/>
            <w:sz w:val="28"/>
            <w:szCs w:val="28"/>
          </w:rPr>
          <w:instrText xml:space="preserve"> PAGEREF _Toc72500591 \h </w:instrText>
        </w:r>
        <w:r w:rsidRPr="009F707E">
          <w:rPr>
            <w:rFonts w:ascii="仿宋" w:eastAsia="仿宋" w:hAnsi="仿宋"/>
            <w:noProof/>
            <w:webHidden/>
            <w:sz w:val="28"/>
            <w:szCs w:val="28"/>
          </w:rPr>
        </w:r>
        <w:r w:rsidRPr="009F707E">
          <w:rPr>
            <w:rFonts w:ascii="仿宋" w:eastAsia="仿宋" w:hAnsi="仿宋"/>
            <w:noProof/>
            <w:webHidden/>
            <w:sz w:val="28"/>
            <w:szCs w:val="28"/>
          </w:rPr>
          <w:fldChar w:fldCharType="separate"/>
        </w:r>
        <w:r w:rsidR="009F707E" w:rsidRPr="009F707E">
          <w:rPr>
            <w:rFonts w:ascii="仿宋" w:eastAsia="仿宋" w:hAnsi="仿宋"/>
            <w:noProof/>
            <w:webHidden/>
            <w:sz w:val="28"/>
            <w:szCs w:val="28"/>
          </w:rPr>
          <w:t>1</w:t>
        </w:r>
        <w:r w:rsidRPr="009F707E">
          <w:rPr>
            <w:rFonts w:ascii="仿宋" w:eastAsia="仿宋" w:hAnsi="仿宋"/>
            <w:noProof/>
            <w:webHidden/>
            <w:sz w:val="28"/>
            <w:szCs w:val="28"/>
          </w:rPr>
          <w:fldChar w:fldCharType="end"/>
        </w:r>
      </w:hyperlink>
    </w:p>
    <w:p w:rsidR="009F707E" w:rsidRPr="009F707E" w:rsidRDefault="00DF399F">
      <w:pPr>
        <w:pStyle w:val="20"/>
        <w:rPr>
          <w:rFonts w:ascii="仿宋" w:eastAsia="仿宋" w:hAnsi="仿宋"/>
          <w:noProof/>
          <w:sz w:val="28"/>
          <w:szCs w:val="28"/>
        </w:rPr>
      </w:pPr>
      <w:hyperlink w:anchor="_Toc72500592" w:history="1">
        <w:r w:rsidR="009F707E" w:rsidRPr="009F707E">
          <w:rPr>
            <w:rStyle w:val="ac"/>
            <w:rFonts w:ascii="仿宋" w:eastAsia="仿宋" w:hAnsi="仿宋" w:hint="eastAsia"/>
            <w:noProof/>
            <w:sz w:val="28"/>
            <w:szCs w:val="28"/>
          </w:rPr>
          <w:t>（二）项目绩效目标</w:t>
        </w:r>
        <w:r w:rsidR="009F707E" w:rsidRPr="009F707E">
          <w:rPr>
            <w:rFonts w:ascii="仿宋" w:eastAsia="仿宋" w:hAnsi="仿宋"/>
            <w:noProof/>
            <w:webHidden/>
            <w:sz w:val="28"/>
            <w:szCs w:val="28"/>
          </w:rPr>
          <w:tab/>
        </w:r>
        <w:r w:rsidRPr="009F707E">
          <w:rPr>
            <w:rFonts w:ascii="仿宋" w:eastAsia="仿宋" w:hAnsi="仿宋"/>
            <w:noProof/>
            <w:webHidden/>
            <w:sz w:val="28"/>
            <w:szCs w:val="28"/>
          </w:rPr>
          <w:fldChar w:fldCharType="begin"/>
        </w:r>
        <w:r w:rsidR="009F707E" w:rsidRPr="009F707E">
          <w:rPr>
            <w:rFonts w:ascii="仿宋" w:eastAsia="仿宋" w:hAnsi="仿宋"/>
            <w:noProof/>
            <w:webHidden/>
            <w:sz w:val="28"/>
            <w:szCs w:val="28"/>
          </w:rPr>
          <w:instrText xml:space="preserve"> PAGEREF _Toc72500592 \h </w:instrText>
        </w:r>
        <w:r w:rsidRPr="009F707E">
          <w:rPr>
            <w:rFonts w:ascii="仿宋" w:eastAsia="仿宋" w:hAnsi="仿宋"/>
            <w:noProof/>
            <w:webHidden/>
            <w:sz w:val="28"/>
            <w:szCs w:val="28"/>
          </w:rPr>
        </w:r>
        <w:r w:rsidRPr="009F707E">
          <w:rPr>
            <w:rFonts w:ascii="仿宋" w:eastAsia="仿宋" w:hAnsi="仿宋"/>
            <w:noProof/>
            <w:webHidden/>
            <w:sz w:val="28"/>
            <w:szCs w:val="28"/>
          </w:rPr>
          <w:fldChar w:fldCharType="separate"/>
        </w:r>
        <w:r w:rsidR="009F707E" w:rsidRPr="009F707E">
          <w:rPr>
            <w:rFonts w:ascii="仿宋" w:eastAsia="仿宋" w:hAnsi="仿宋"/>
            <w:noProof/>
            <w:webHidden/>
            <w:sz w:val="28"/>
            <w:szCs w:val="28"/>
          </w:rPr>
          <w:t>2</w:t>
        </w:r>
        <w:r w:rsidRPr="009F707E">
          <w:rPr>
            <w:rFonts w:ascii="仿宋" w:eastAsia="仿宋" w:hAnsi="仿宋"/>
            <w:noProof/>
            <w:webHidden/>
            <w:sz w:val="28"/>
            <w:szCs w:val="28"/>
          </w:rPr>
          <w:fldChar w:fldCharType="end"/>
        </w:r>
      </w:hyperlink>
    </w:p>
    <w:p w:rsidR="009F707E" w:rsidRPr="009F707E" w:rsidRDefault="00DF399F">
      <w:pPr>
        <w:pStyle w:val="10"/>
        <w:rPr>
          <w:rFonts w:ascii="仿宋" w:eastAsia="仿宋" w:hAnsi="仿宋"/>
          <w:b w:val="0"/>
          <w:noProof/>
          <w:sz w:val="28"/>
          <w:szCs w:val="28"/>
        </w:rPr>
      </w:pPr>
      <w:hyperlink w:anchor="_Toc72500593" w:history="1">
        <w:r w:rsidR="009F707E" w:rsidRPr="009F707E">
          <w:rPr>
            <w:rStyle w:val="ac"/>
            <w:rFonts w:ascii="仿宋" w:eastAsia="仿宋" w:hAnsi="仿宋" w:hint="eastAsia"/>
            <w:noProof/>
            <w:sz w:val="28"/>
            <w:szCs w:val="28"/>
          </w:rPr>
          <w:t>二、绩效评价工作开展情况</w:t>
        </w:r>
        <w:r w:rsidR="009F707E" w:rsidRPr="009F707E">
          <w:rPr>
            <w:rFonts w:ascii="仿宋" w:eastAsia="仿宋" w:hAnsi="仿宋"/>
            <w:noProof/>
            <w:webHidden/>
            <w:sz w:val="28"/>
            <w:szCs w:val="28"/>
          </w:rPr>
          <w:tab/>
        </w:r>
        <w:r w:rsidRPr="009F707E">
          <w:rPr>
            <w:rFonts w:ascii="仿宋" w:eastAsia="仿宋" w:hAnsi="仿宋"/>
            <w:noProof/>
            <w:webHidden/>
            <w:sz w:val="28"/>
            <w:szCs w:val="28"/>
          </w:rPr>
          <w:fldChar w:fldCharType="begin"/>
        </w:r>
        <w:r w:rsidR="009F707E" w:rsidRPr="009F707E">
          <w:rPr>
            <w:rFonts w:ascii="仿宋" w:eastAsia="仿宋" w:hAnsi="仿宋"/>
            <w:noProof/>
            <w:webHidden/>
            <w:sz w:val="28"/>
            <w:szCs w:val="28"/>
          </w:rPr>
          <w:instrText xml:space="preserve"> PAGEREF _Toc72500593 \h </w:instrText>
        </w:r>
        <w:r w:rsidRPr="009F707E">
          <w:rPr>
            <w:rFonts w:ascii="仿宋" w:eastAsia="仿宋" w:hAnsi="仿宋"/>
            <w:noProof/>
            <w:webHidden/>
            <w:sz w:val="28"/>
            <w:szCs w:val="28"/>
          </w:rPr>
        </w:r>
        <w:r w:rsidRPr="009F707E">
          <w:rPr>
            <w:rFonts w:ascii="仿宋" w:eastAsia="仿宋" w:hAnsi="仿宋"/>
            <w:noProof/>
            <w:webHidden/>
            <w:sz w:val="28"/>
            <w:szCs w:val="28"/>
          </w:rPr>
          <w:fldChar w:fldCharType="separate"/>
        </w:r>
        <w:r w:rsidR="009F707E" w:rsidRPr="009F707E">
          <w:rPr>
            <w:rFonts w:ascii="仿宋" w:eastAsia="仿宋" w:hAnsi="仿宋"/>
            <w:noProof/>
            <w:webHidden/>
            <w:sz w:val="28"/>
            <w:szCs w:val="28"/>
          </w:rPr>
          <w:t>2</w:t>
        </w:r>
        <w:r w:rsidRPr="009F707E">
          <w:rPr>
            <w:rFonts w:ascii="仿宋" w:eastAsia="仿宋" w:hAnsi="仿宋"/>
            <w:noProof/>
            <w:webHidden/>
            <w:sz w:val="28"/>
            <w:szCs w:val="28"/>
          </w:rPr>
          <w:fldChar w:fldCharType="end"/>
        </w:r>
      </w:hyperlink>
    </w:p>
    <w:p w:rsidR="009F707E" w:rsidRPr="009F707E" w:rsidRDefault="00DF399F">
      <w:pPr>
        <w:pStyle w:val="20"/>
        <w:rPr>
          <w:rFonts w:ascii="仿宋" w:eastAsia="仿宋" w:hAnsi="仿宋"/>
          <w:noProof/>
          <w:sz w:val="28"/>
          <w:szCs w:val="28"/>
        </w:rPr>
      </w:pPr>
      <w:hyperlink w:anchor="_Toc72500594" w:history="1">
        <w:r w:rsidR="009F707E" w:rsidRPr="009F707E">
          <w:rPr>
            <w:rStyle w:val="ac"/>
            <w:rFonts w:ascii="仿宋" w:eastAsia="仿宋" w:hAnsi="仿宋" w:hint="eastAsia"/>
            <w:noProof/>
            <w:sz w:val="28"/>
            <w:szCs w:val="28"/>
          </w:rPr>
          <w:t>（一）绩效评价目的、对象和范围</w:t>
        </w:r>
        <w:r w:rsidR="009F707E" w:rsidRPr="009F707E">
          <w:rPr>
            <w:rFonts w:ascii="仿宋" w:eastAsia="仿宋" w:hAnsi="仿宋"/>
            <w:noProof/>
            <w:webHidden/>
            <w:sz w:val="28"/>
            <w:szCs w:val="28"/>
          </w:rPr>
          <w:tab/>
        </w:r>
        <w:r w:rsidRPr="009F707E">
          <w:rPr>
            <w:rFonts w:ascii="仿宋" w:eastAsia="仿宋" w:hAnsi="仿宋"/>
            <w:noProof/>
            <w:webHidden/>
            <w:sz w:val="28"/>
            <w:szCs w:val="28"/>
          </w:rPr>
          <w:fldChar w:fldCharType="begin"/>
        </w:r>
        <w:r w:rsidR="009F707E" w:rsidRPr="009F707E">
          <w:rPr>
            <w:rFonts w:ascii="仿宋" w:eastAsia="仿宋" w:hAnsi="仿宋"/>
            <w:noProof/>
            <w:webHidden/>
            <w:sz w:val="28"/>
            <w:szCs w:val="28"/>
          </w:rPr>
          <w:instrText xml:space="preserve"> PAGEREF _Toc72500594 \h </w:instrText>
        </w:r>
        <w:r w:rsidRPr="009F707E">
          <w:rPr>
            <w:rFonts w:ascii="仿宋" w:eastAsia="仿宋" w:hAnsi="仿宋"/>
            <w:noProof/>
            <w:webHidden/>
            <w:sz w:val="28"/>
            <w:szCs w:val="28"/>
          </w:rPr>
        </w:r>
        <w:r w:rsidRPr="009F707E">
          <w:rPr>
            <w:rFonts w:ascii="仿宋" w:eastAsia="仿宋" w:hAnsi="仿宋"/>
            <w:noProof/>
            <w:webHidden/>
            <w:sz w:val="28"/>
            <w:szCs w:val="28"/>
          </w:rPr>
          <w:fldChar w:fldCharType="separate"/>
        </w:r>
        <w:r w:rsidR="009F707E" w:rsidRPr="009F707E">
          <w:rPr>
            <w:rFonts w:ascii="仿宋" w:eastAsia="仿宋" w:hAnsi="仿宋"/>
            <w:noProof/>
            <w:webHidden/>
            <w:sz w:val="28"/>
            <w:szCs w:val="28"/>
          </w:rPr>
          <w:t>3</w:t>
        </w:r>
        <w:r w:rsidRPr="009F707E">
          <w:rPr>
            <w:rFonts w:ascii="仿宋" w:eastAsia="仿宋" w:hAnsi="仿宋"/>
            <w:noProof/>
            <w:webHidden/>
            <w:sz w:val="28"/>
            <w:szCs w:val="28"/>
          </w:rPr>
          <w:fldChar w:fldCharType="end"/>
        </w:r>
      </w:hyperlink>
    </w:p>
    <w:p w:rsidR="009F707E" w:rsidRPr="009F707E" w:rsidRDefault="00DF399F">
      <w:pPr>
        <w:pStyle w:val="20"/>
        <w:rPr>
          <w:rFonts w:ascii="仿宋" w:eastAsia="仿宋" w:hAnsi="仿宋"/>
          <w:noProof/>
          <w:sz w:val="28"/>
          <w:szCs w:val="28"/>
        </w:rPr>
      </w:pPr>
      <w:hyperlink w:anchor="_Toc72500595" w:history="1">
        <w:r w:rsidR="009F707E" w:rsidRPr="009F707E">
          <w:rPr>
            <w:rStyle w:val="ac"/>
            <w:rFonts w:ascii="仿宋" w:eastAsia="仿宋" w:hAnsi="仿宋" w:hint="eastAsia"/>
            <w:noProof/>
            <w:sz w:val="28"/>
            <w:szCs w:val="28"/>
          </w:rPr>
          <w:t>（二）绩效评价原则、评价指标体系（附表说明）、评价方法、评价标准等</w:t>
        </w:r>
        <w:r w:rsidR="009F707E" w:rsidRPr="009F707E">
          <w:rPr>
            <w:rFonts w:ascii="仿宋" w:eastAsia="仿宋" w:hAnsi="仿宋"/>
            <w:noProof/>
            <w:webHidden/>
            <w:sz w:val="28"/>
            <w:szCs w:val="28"/>
          </w:rPr>
          <w:tab/>
        </w:r>
        <w:r w:rsidRPr="009F707E">
          <w:rPr>
            <w:rFonts w:ascii="仿宋" w:eastAsia="仿宋" w:hAnsi="仿宋"/>
            <w:noProof/>
            <w:webHidden/>
            <w:sz w:val="28"/>
            <w:szCs w:val="28"/>
          </w:rPr>
          <w:fldChar w:fldCharType="begin"/>
        </w:r>
        <w:r w:rsidR="009F707E" w:rsidRPr="009F707E">
          <w:rPr>
            <w:rFonts w:ascii="仿宋" w:eastAsia="仿宋" w:hAnsi="仿宋"/>
            <w:noProof/>
            <w:webHidden/>
            <w:sz w:val="28"/>
            <w:szCs w:val="28"/>
          </w:rPr>
          <w:instrText xml:space="preserve"> PAGEREF _Toc72500595 \h </w:instrText>
        </w:r>
        <w:r w:rsidRPr="009F707E">
          <w:rPr>
            <w:rFonts w:ascii="仿宋" w:eastAsia="仿宋" w:hAnsi="仿宋"/>
            <w:noProof/>
            <w:webHidden/>
            <w:sz w:val="28"/>
            <w:szCs w:val="28"/>
          </w:rPr>
        </w:r>
        <w:r w:rsidRPr="009F707E">
          <w:rPr>
            <w:rFonts w:ascii="仿宋" w:eastAsia="仿宋" w:hAnsi="仿宋"/>
            <w:noProof/>
            <w:webHidden/>
            <w:sz w:val="28"/>
            <w:szCs w:val="28"/>
          </w:rPr>
          <w:fldChar w:fldCharType="separate"/>
        </w:r>
        <w:r w:rsidR="009F707E" w:rsidRPr="009F707E">
          <w:rPr>
            <w:rFonts w:ascii="仿宋" w:eastAsia="仿宋" w:hAnsi="仿宋"/>
            <w:noProof/>
            <w:webHidden/>
            <w:sz w:val="28"/>
            <w:szCs w:val="28"/>
          </w:rPr>
          <w:t>4</w:t>
        </w:r>
        <w:r w:rsidRPr="009F707E">
          <w:rPr>
            <w:rFonts w:ascii="仿宋" w:eastAsia="仿宋" w:hAnsi="仿宋"/>
            <w:noProof/>
            <w:webHidden/>
            <w:sz w:val="28"/>
            <w:szCs w:val="28"/>
          </w:rPr>
          <w:fldChar w:fldCharType="end"/>
        </w:r>
      </w:hyperlink>
    </w:p>
    <w:p w:rsidR="009F707E" w:rsidRPr="009F707E" w:rsidRDefault="00DF399F">
      <w:pPr>
        <w:pStyle w:val="20"/>
        <w:rPr>
          <w:rFonts w:ascii="仿宋" w:eastAsia="仿宋" w:hAnsi="仿宋"/>
          <w:noProof/>
          <w:sz w:val="28"/>
          <w:szCs w:val="28"/>
        </w:rPr>
      </w:pPr>
      <w:hyperlink w:anchor="_Toc72500596" w:history="1">
        <w:r w:rsidR="009F707E" w:rsidRPr="009F707E">
          <w:rPr>
            <w:rStyle w:val="ac"/>
            <w:rFonts w:ascii="仿宋" w:eastAsia="仿宋" w:hAnsi="仿宋" w:hint="eastAsia"/>
            <w:noProof/>
            <w:sz w:val="28"/>
            <w:szCs w:val="28"/>
          </w:rPr>
          <w:t>（三）绩效评价工作过程</w:t>
        </w:r>
        <w:r w:rsidR="009F707E" w:rsidRPr="009F707E">
          <w:rPr>
            <w:rFonts w:ascii="仿宋" w:eastAsia="仿宋" w:hAnsi="仿宋"/>
            <w:noProof/>
            <w:webHidden/>
            <w:sz w:val="28"/>
            <w:szCs w:val="28"/>
          </w:rPr>
          <w:tab/>
        </w:r>
        <w:r w:rsidRPr="009F707E">
          <w:rPr>
            <w:rFonts w:ascii="仿宋" w:eastAsia="仿宋" w:hAnsi="仿宋"/>
            <w:noProof/>
            <w:webHidden/>
            <w:sz w:val="28"/>
            <w:szCs w:val="28"/>
          </w:rPr>
          <w:fldChar w:fldCharType="begin"/>
        </w:r>
        <w:r w:rsidR="009F707E" w:rsidRPr="009F707E">
          <w:rPr>
            <w:rFonts w:ascii="仿宋" w:eastAsia="仿宋" w:hAnsi="仿宋"/>
            <w:noProof/>
            <w:webHidden/>
            <w:sz w:val="28"/>
            <w:szCs w:val="28"/>
          </w:rPr>
          <w:instrText xml:space="preserve"> PAGEREF _Toc72500596 \h </w:instrText>
        </w:r>
        <w:r w:rsidRPr="009F707E">
          <w:rPr>
            <w:rFonts w:ascii="仿宋" w:eastAsia="仿宋" w:hAnsi="仿宋"/>
            <w:noProof/>
            <w:webHidden/>
            <w:sz w:val="28"/>
            <w:szCs w:val="28"/>
          </w:rPr>
        </w:r>
        <w:r w:rsidRPr="009F707E">
          <w:rPr>
            <w:rFonts w:ascii="仿宋" w:eastAsia="仿宋" w:hAnsi="仿宋"/>
            <w:noProof/>
            <w:webHidden/>
            <w:sz w:val="28"/>
            <w:szCs w:val="28"/>
          </w:rPr>
          <w:fldChar w:fldCharType="separate"/>
        </w:r>
        <w:r w:rsidR="009F707E" w:rsidRPr="009F707E">
          <w:rPr>
            <w:rFonts w:ascii="仿宋" w:eastAsia="仿宋" w:hAnsi="仿宋"/>
            <w:noProof/>
            <w:webHidden/>
            <w:sz w:val="28"/>
            <w:szCs w:val="28"/>
          </w:rPr>
          <w:t>11</w:t>
        </w:r>
        <w:r w:rsidRPr="009F707E">
          <w:rPr>
            <w:rFonts w:ascii="仿宋" w:eastAsia="仿宋" w:hAnsi="仿宋"/>
            <w:noProof/>
            <w:webHidden/>
            <w:sz w:val="28"/>
            <w:szCs w:val="28"/>
          </w:rPr>
          <w:fldChar w:fldCharType="end"/>
        </w:r>
      </w:hyperlink>
    </w:p>
    <w:p w:rsidR="009F707E" w:rsidRPr="009F707E" w:rsidRDefault="00DF399F">
      <w:pPr>
        <w:pStyle w:val="10"/>
        <w:rPr>
          <w:rFonts w:ascii="仿宋" w:eastAsia="仿宋" w:hAnsi="仿宋"/>
          <w:b w:val="0"/>
          <w:noProof/>
          <w:sz w:val="28"/>
          <w:szCs w:val="28"/>
        </w:rPr>
      </w:pPr>
      <w:hyperlink w:anchor="_Toc72500597" w:history="1">
        <w:r w:rsidR="009F707E" w:rsidRPr="009F707E">
          <w:rPr>
            <w:rStyle w:val="ac"/>
            <w:rFonts w:ascii="仿宋" w:eastAsia="仿宋" w:hAnsi="仿宋" w:hint="eastAsia"/>
            <w:noProof/>
            <w:sz w:val="28"/>
            <w:szCs w:val="28"/>
          </w:rPr>
          <w:t>三、综合评价情况及评价结论（附相关评分表）</w:t>
        </w:r>
        <w:r w:rsidR="009F707E" w:rsidRPr="009F707E">
          <w:rPr>
            <w:rFonts w:ascii="仿宋" w:eastAsia="仿宋" w:hAnsi="仿宋"/>
            <w:noProof/>
            <w:webHidden/>
            <w:sz w:val="28"/>
            <w:szCs w:val="28"/>
          </w:rPr>
          <w:tab/>
        </w:r>
        <w:r w:rsidRPr="009F707E">
          <w:rPr>
            <w:rFonts w:ascii="仿宋" w:eastAsia="仿宋" w:hAnsi="仿宋"/>
            <w:noProof/>
            <w:webHidden/>
            <w:sz w:val="28"/>
            <w:szCs w:val="28"/>
          </w:rPr>
          <w:fldChar w:fldCharType="begin"/>
        </w:r>
        <w:r w:rsidR="009F707E" w:rsidRPr="009F707E">
          <w:rPr>
            <w:rFonts w:ascii="仿宋" w:eastAsia="仿宋" w:hAnsi="仿宋"/>
            <w:noProof/>
            <w:webHidden/>
            <w:sz w:val="28"/>
            <w:szCs w:val="28"/>
          </w:rPr>
          <w:instrText xml:space="preserve"> PAGEREF _Toc72500597 \h </w:instrText>
        </w:r>
        <w:r w:rsidRPr="009F707E">
          <w:rPr>
            <w:rFonts w:ascii="仿宋" w:eastAsia="仿宋" w:hAnsi="仿宋"/>
            <w:noProof/>
            <w:webHidden/>
            <w:sz w:val="28"/>
            <w:szCs w:val="28"/>
          </w:rPr>
        </w:r>
        <w:r w:rsidRPr="009F707E">
          <w:rPr>
            <w:rFonts w:ascii="仿宋" w:eastAsia="仿宋" w:hAnsi="仿宋"/>
            <w:noProof/>
            <w:webHidden/>
            <w:sz w:val="28"/>
            <w:szCs w:val="28"/>
          </w:rPr>
          <w:fldChar w:fldCharType="separate"/>
        </w:r>
        <w:r w:rsidR="009F707E" w:rsidRPr="009F707E">
          <w:rPr>
            <w:rFonts w:ascii="仿宋" w:eastAsia="仿宋" w:hAnsi="仿宋"/>
            <w:noProof/>
            <w:webHidden/>
            <w:sz w:val="28"/>
            <w:szCs w:val="28"/>
          </w:rPr>
          <w:t>13</w:t>
        </w:r>
        <w:r w:rsidRPr="009F707E">
          <w:rPr>
            <w:rFonts w:ascii="仿宋" w:eastAsia="仿宋" w:hAnsi="仿宋"/>
            <w:noProof/>
            <w:webHidden/>
            <w:sz w:val="28"/>
            <w:szCs w:val="28"/>
          </w:rPr>
          <w:fldChar w:fldCharType="end"/>
        </w:r>
      </w:hyperlink>
    </w:p>
    <w:p w:rsidR="009F707E" w:rsidRPr="009F707E" w:rsidRDefault="00DF399F">
      <w:pPr>
        <w:pStyle w:val="10"/>
        <w:rPr>
          <w:rFonts w:ascii="仿宋" w:eastAsia="仿宋" w:hAnsi="仿宋"/>
          <w:b w:val="0"/>
          <w:noProof/>
          <w:sz w:val="28"/>
          <w:szCs w:val="28"/>
        </w:rPr>
      </w:pPr>
      <w:hyperlink w:anchor="_Toc72500598" w:history="1">
        <w:r w:rsidR="009F707E" w:rsidRPr="009F707E">
          <w:rPr>
            <w:rStyle w:val="ac"/>
            <w:rFonts w:ascii="仿宋" w:eastAsia="仿宋" w:hAnsi="仿宋" w:hint="eastAsia"/>
            <w:noProof/>
            <w:sz w:val="28"/>
            <w:szCs w:val="28"/>
          </w:rPr>
          <w:t>四、绩效评价指标分析</w:t>
        </w:r>
        <w:r w:rsidR="009F707E" w:rsidRPr="009F707E">
          <w:rPr>
            <w:rFonts w:ascii="仿宋" w:eastAsia="仿宋" w:hAnsi="仿宋"/>
            <w:noProof/>
            <w:webHidden/>
            <w:sz w:val="28"/>
            <w:szCs w:val="28"/>
          </w:rPr>
          <w:tab/>
        </w:r>
        <w:r w:rsidRPr="009F707E">
          <w:rPr>
            <w:rFonts w:ascii="仿宋" w:eastAsia="仿宋" w:hAnsi="仿宋"/>
            <w:noProof/>
            <w:webHidden/>
            <w:sz w:val="28"/>
            <w:szCs w:val="28"/>
          </w:rPr>
          <w:fldChar w:fldCharType="begin"/>
        </w:r>
        <w:r w:rsidR="009F707E" w:rsidRPr="009F707E">
          <w:rPr>
            <w:rFonts w:ascii="仿宋" w:eastAsia="仿宋" w:hAnsi="仿宋"/>
            <w:noProof/>
            <w:webHidden/>
            <w:sz w:val="28"/>
            <w:szCs w:val="28"/>
          </w:rPr>
          <w:instrText xml:space="preserve"> PAGEREF _Toc72500598 \h </w:instrText>
        </w:r>
        <w:r w:rsidRPr="009F707E">
          <w:rPr>
            <w:rFonts w:ascii="仿宋" w:eastAsia="仿宋" w:hAnsi="仿宋"/>
            <w:noProof/>
            <w:webHidden/>
            <w:sz w:val="28"/>
            <w:szCs w:val="28"/>
          </w:rPr>
        </w:r>
        <w:r w:rsidRPr="009F707E">
          <w:rPr>
            <w:rFonts w:ascii="仿宋" w:eastAsia="仿宋" w:hAnsi="仿宋"/>
            <w:noProof/>
            <w:webHidden/>
            <w:sz w:val="28"/>
            <w:szCs w:val="28"/>
          </w:rPr>
          <w:fldChar w:fldCharType="separate"/>
        </w:r>
        <w:r w:rsidR="009F707E" w:rsidRPr="009F707E">
          <w:rPr>
            <w:rFonts w:ascii="仿宋" w:eastAsia="仿宋" w:hAnsi="仿宋"/>
            <w:noProof/>
            <w:webHidden/>
            <w:sz w:val="28"/>
            <w:szCs w:val="28"/>
          </w:rPr>
          <w:t>13</w:t>
        </w:r>
        <w:r w:rsidRPr="009F707E">
          <w:rPr>
            <w:rFonts w:ascii="仿宋" w:eastAsia="仿宋" w:hAnsi="仿宋"/>
            <w:noProof/>
            <w:webHidden/>
            <w:sz w:val="28"/>
            <w:szCs w:val="28"/>
          </w:rPr>
          <w:fldChar w:fldCharType="end"/>
        </w:r>
      </w:hyperlink>
    </w:p>
    <w:p w:rsidR="009F707E" w:rsidRPr="009F707E" w:rsidRDefault="00DF399F">
      <w:pPr>
        <w:pStyle w:val="20"/>
        <w:rPr>
          <w:rFonts w:ascii="仿宋" w:eastAsia="仿宋" w:hAnsi="仿宋"/>
          <w:noProof/>
          <w:sz w:val="28"/>
          <w:szCs w:val="28"/>
        </w:rPr>
      </w:pPr>
      <w:hyperlink w:anchor="_Toc72500599" w:history="1">
        <w:r w:rsidR="009F707E" w:rsidRPr="009F707E">
          <w:rPr>
            <w:rStyle w:val="ac"/>
            <w:rFonts w:ascii="仿宋" w:eastAsia="仿宋" w:hAnsi="仿宋" w:hint="eastAsia"/>
            <w:noProof/>
            <w:sz w:val="28"/>
            <w:szCs w:val="28"/>
          </w:rPr>
          <w:t>（一）项目决策情况</w:t>
        </w:r>
        <w:r w:rsidR="009F707E" w:rsidRPr="009F707E">
          <w:rPr>
            <w:rFonts w:ascii="仿宋" w:eastAsia="仿宋" w:hAnsi="仿宋"/>
            <w:noProof/>
            <w:webHidden/>
            <w:sz w:val="28"/>
            <w:szCs w:val="28"/>
          </w:rPr>
          <w:tab/>
        </w:r>
        <w:r w:rsidRPr="009F707E">
          <w:rPr>
            <w:rFonts w:ascii="仿宋" w:eastAsia="仿宋" w:hAnsi="仿宋"/>
            <w:noProof/>
            <w:webHidden/>
            <w:sz w:val="28"/>
            <w:szCs w:val="28"/>
          </w:rPr>
          <w:fldChar w:fldCharType="begin"/>
        </w:r>
        <w:r w:rsidR="009F707E" w:rsidRPr="009F707E">
          <w:rPr>
            <w:rFonts w:ascii="仿宋" w:eastAsia="仿宋" w:hAnsi="仿宋"/>
            <w:noProof/>
            <w:webHidden/>
            <w:sz w:val="28"/>
            <w:szCs w:val="28"/>
          </w:rPr>
          <w:instrText xml:space="preserve"> PAGEREF _Toc72500599 \h </w:instrText>
        </w:r>
        <w:r w:rsidRPr="009F707E">
          <w:rPr>
            <w:rFonts w:ascii="仿宋" w:eastAsia="仿宋" w:hAnsi="仿宋"/>
            <w:noProof/>
            <w:webHidden/>
            <w:sz w:val="28"/>
            <w:szCs w:val="28"/>
          </w:rPr>
        </w:r>
        <w:r w:rsidRPr="009F707E">
          <w:rPr>
            <w:rFonts w:ascii="仿宋" w:eastAsia="仿宋" w:hAnsi="仿宋"/>
            <w:noProof/>
            <w:webHidden/>
            <w:sz w:val="28"/>
            <w:szCs w:val="28"/>
          </w:rPr>
          <w:fldChar w:fldCharType="separate"/>
        </w:r>
        <w:r w:rsidR="009F707E" w:rsidRPr="009F707E">
          <w:rPr>
            <w:rFonts w:ascii="仿宋" w:eastAsia="仿宋" w:hAnsi="仿宋"/>
            <w:noProof/>
            <w:webHidden/>
            <w:sz w:val="28"/>
            <w:szCs w:val="28"/>
          </w:rPr>
          <w:t>13</w:t>
        </w:r>
        <w:r w:rsidRPr="009F707E">
          <w:rPr>
            <w:rFonts w:ascii="仿宋" w:eastAsia="仿宋" w:hAnsi="仿宋"/>
            <w:noProof/>
            <w:webHidden/>
            <w:sz w:val="28"/>
            <w:szCs w:val="28"/>
          </w:rPr>
          <w:fldChar w:fldCharType="end"/>
        </w:r>
      </w:hyperlink>
    </w:p>
    <w:p w:rsidR="009F707E" w:rsidRPr="009F707E" w:rsidRDefault="00DF399F">
      <w:pPr>
        <w:pStyle w:val="20"/>
        <w:rPr>
          <w:rFonts w:ascii="仿宋" w:eastAsia="仿宋" w:hAnsi="仿宋"/>
          <w:noProof/>
          <w:sz w:val="28"/>
          <w:szCs w:val="28"/>
        </w:rPr>
      </w:pPr>
      <w:hyperlink w:anchor="_Toc72500600" w:history="1">
        <w:r w:rsidR="009F707E" w:rsidRPr="009F707E">
          <w:rPr>
            <w:rStyle w:val="ac"/>
            <w:rFonts w:ascii="仿宋" w:eastAsia="仿宋" w:hAnsi="仿宋" w:hint="eastAsia"/>
            <w:noProof/>
            <w:sz w:val="28"/>
            <w:szCs w:val="28"/>
          </w:rPr>
          <w:t>（二）项目过程情况</w:t>
        </w:r>
        <w:r w:rsidR="009F707E" w:rsidRPr="009F707E">
          <w:rPr>
            <w:rFonts w:ascii="仿宋" w:eastAsia="仿宋" w:hAnsi="仿宋"/>
            <w:noProof/>
            <w:webHidden/>
            <w:sz w:val="28"/>
            <w:szCs w:val="28"/>
          </w:rPr>
          <w:tab/>
        </w:r>
        <w:r w:rsidRPr="009F707E">
          <w:rPr>
            <w:rFonts w:ascii="仿宋" w:eastAsia="仿宋" w:hAnsi="仿宋"/>
            <w:noProof/>
            <w:webHidden/>
            <w:sz w:val="28"/>
            <w:szCs w:val="28"/>
          </w:rPr>
          <w:fldChar w:fldCharType="begin"/>
        </w:r>
        <w:r w:rsidR="009F707E" w:rsidRPr="009F707E">
          <w:rPr>
            <w:rFonts w:ascii="仿宋" w:eastAsia="仿宋" w:hAnsi="仿宋"/>
            <w:noProof/>
            <w:webHidden/>
            <w:sz w:val="28"/>
            <w:szCs w:val="28"/>
          </w:rPr>
          <w:instrText xml:space="preserve"> PAGEREF _Toc72500600 \h </w:instrText>
        </w:r>
        <w:r w:rsidRPr="009F707E">
          <w:rPr>
            <w:rFonts w:ascii="仿宋" w:eastAsia="仿宋" w:hAnsi="仿宋"/>
            <w:noProof/>
            <w:webHidden/>
            <w:sz w:val="28"/>
            <w:szCs w:val="28"/>
          </w:rPr>
        </w:r>
        <w:r w:rsidRPr="009F707E">
          <w:rPr>
            <w:rFonts w:ascii="仿宋" w:eastAsia="仿宋" w:hAnsi="仿宋"/>
            <w:noProof/>
            <w:webHidden/>
            <w:sz w:val="28"/>
            <w:szCs w:val="28"/>
          </w:rPr>
          <w:fldChar w:fldCharType="separate"/>
        </w:r>
        <w:r w:rsidR="009F707E" w:rsidRPr="009F707E">
          <w:rPr>
            <w:rFonts w:ascii="仿宋" w:eastAsia="仿宋" w:hAnsi="仿宋"/>
            <w:noProof/>
            <w:webHidden/>
            <w:sz w:val="28"/>
            <w:szCs w:val="28"/>
          </w:rPr>
          <w:t>15</w:t>
        </w:r>
        <w:r w:rsidRPr="009F707E">
          <w:rPr>
            <w:rFonts w:ascii="仿宋" w:eastAsia="仿宋" w:hAnsi="仿宋"/>
            <w:noProof/>
            <w:webHidden/>
            <w:sz w:val="28"/>
            <w:szCs w:val="28"/>
          </w:rPr>
          <w:fldChar w:fldCharType="end"/>
        </w:r>
      </w:hyperlink>
    </w:p>
    <w:p w:rsidR="009F707E" w:rsidRPr="009F707E" w:rsidRDefault="00DF399F">
      <w:pPr>
        <w:pStyle w:val="20"/>
        <w:rPr>
          <w:rFonts w:ascii="仿宋" w:eastAsia="仿宋" w:hAnsi="仿宋"/>
          <w:noProof/>
          <w:sz w:val="28"/>
          <w:szCs w:val="28"/>
        </w:rPr>
      </w:pPr>
      <w:hyperlink w:anchor="_Toc72500601" w:history="1">
        <w:r w:rsidR="009F707E" w:rsidRPr="009F707E">
          <w:rPr>
            <w:rStyle w:val="ac"/>
            <w:rFonts w:ascii="仿宋" w:eastAsia="仿宋" w:hAnsi="仿宋" w:hint="eastAsia"/>
            <w:noProof/>
            <w:sz w:val="28"/>
            <w:szCs w:val="28"/>
          </w:rPr>
          <w:t>（三）项目产出情况</w:t>
        </w:r>
        <w:r w:rsidR="009F707E" w:rsidRPr="009F707E">
          <w:rPr>
            <w:rFonts w:ascii="仿宋" w:eastAsia="仿宋" w:hAnsi="仿宋"/>
            <w:noProof/>
            <w:webHidden/>
            <w:sz w:val="28"/>
            <w:szCs w:val="28"/>
          </w:rPr>
          <w:tab/>
        </w:r>
        <w:r w:rsidRPr="009F707E">
          <w:rPr>
            <w:rFonts w:ascii="仿宋" w:eastAsia="仿宋" w:hAnsi="仿宋"/>
            <w:noProof/>
            <w:webHidden/>
            <w:sz w:val="28"/>
            <w:szCs w:val="28"/>
          </w:rPr>
          <w:fldChar w:fldCharType="begin"/>
        </w:r>
        <w:r w:rsidR="009F707E" w:rsidRPr="009F707E">
          <w:rPr>
            <w:rFonts w:ascii="仿宋" w:eastAsia="仿宋" w:hAnsi="仿宋"/>
            <w:noProof/>
            <w:webHidden/>
            <w:sz w:val="28"/>
            <w:szCs w:val="28"/>
          </w:rPr>
          <w:instrText xml:space="preserve"> PAGEREF _Toc72500601 \h </w:instrText>
        </w:r>
        <w:r w:rsidRPr="009F707E">
          <w:rPr>
            <w:rFonts w:ascii="仿宋" w:eastAsia="仿宋" w:hAnsi="仿宋"/>
            <w:noProof/>
            <w:webHidden/>
            <w:sz w:val="28"/>
            <w:szCs w:val="28"/>
          </w:rPr>
        </w:r>
        <w:r w:rsidRPr="009F707E">
          <w:rPr>
            <w:rFonts w:ascii="仿宋" w:eastAsia="仿宋" w:hAnsi="仿宋"/>
            <w:noProof/>
            <w:webHidden/>
            <w:sz w:val="28"/>
            <w:szCs w:val="28"/>
          </w:rPr>
          <w:fldChar w:fldCharType="separate"/>
        </w:r>
        <w:r w:rsidR="009F707E" w:rsidRPr="009F707E">
          <w:rPr>
            <w:rFonts w:ascii="仿宋" w:eastAsia="仿宋" w:hAnsi="仿宋"/>
            <w:noProof/>
            <w:webHidden/>
            <w:sz w:val="28"/>
            <w:szCs w:val="28"/>
          </w:rPr>
          <w:t>16</w:t>
        </w:r>
        <w:r w:rsidRPr="009F707E">
          <w:rPr>
            <w:rFonts w:ascii="仿宋" w:eastAsia="仿宋" w:hAnsi="仿宋"/>
            <w:noProof/>
            <w:webHidden/>
            <w:sz w:val="28"/>
            <w:szCs w:val="28"/>
          </w:rPr>
          <w:fldChar w:fldCharType="end"/>
        </w:r>
      </w:hyperlink>
    </w:p>
    <w:p w:rsidR="009F707E" w:rsidRPr="009F707E" w:rsidRDefault="00DF399F">
      <w:pPr>
        <w:pStyle w:val="20"/>
        <w:rPr>
          <w:rFonts w:ascii="仿宋" w:eastAsia="仿宋" w:hAnsi="仿宋"/>
          <w:noProof/>
          <w:sz w:val="28"/>
          <w:szCs w:val="28"/>
        </w:rPr>
      </w:pPr>
      <w:hyperlink w:anchor="_Toc72500602" w:history="1">
        <w:r w:rsidR="009F707E" w:rsidRPr="009F707E">
          <w:rPr>
            <w:rStyle w:val="ac"/>
            <w:rFonts w:ascii="仿宋" w:eastAsia="仿宋" w:hAnsi="仿宋" w:hint="eastAsia"/>
            <w:noProof/>
            <w:sz w:val="28"/>
            <w:szCs w:val="28"/>
          </w:rPr>
          <w:t>（四）项目效益情况</w:t>
        </w:r>
        <w:r w:rsidR="009F707E" w:rsidRPr="009F707E">
          <w:rPr>
            <w:rFonts w:ascii="仿宋" w:eastAsia="仿宋" w:hAnsi="仿宋"/>
            <w:noProof/>
            <w:webHidden/>
            <w:sz w:val="28"/>
            <w:szCs w:val="28"/>
          </w:rPr>
          <w:tab/>
        </w:r>
        <w:r w:rsidRPr="009F707E">
          <w:rPr>
            <w:rFonts w:ascii="仿宋" w:eastAsia="仿宋" w:hAnsi="仿宋"/>
            <w:noProof/>
            <w:webHidden/>
            <w:sz w:val="28"/>
            <w:szCs w:val="28"/>
          </w:rPr>
          <w:fldChar w:fldCharType="begin"/>
        </w:r>
        <w:r w:rsidR="009F707E" w:rsidRPr="009F707E">
          <w:rPr>
            <w:rFonts w:ascii="仿宋" w:eastAsia="仿宋" w:hAnsi="仿宋"/>
            <w:noProof/>
            <w:webHidden/>
            <w:sz w:val="28"/>
            <w:szCs w:val="28"/>
          </w:rPr>
          <w:instrText xml:space="preserve"> PAGEREF _Toc72500602 \h </w:instrText>
        </w:r>
        <w:r w:rsidRPr="009F707E">
          <w:rPr>
            <w:rFonts w:ascii="仿宋" w:eastAsia="仿宋" w:hAnsi="仿宋"/>
            <w:noProof/>
            <w:webHidden/>
            <w:sz w:val="28"/>
            <w:szCs w:val="28"/>
          </w:rPr>
        </w:r>
        <w:r w:rsidRPr="009F707E">
          <w:rPr>
            <w:rFonts w:ascii="仿宋" w:eastAsia="仿宋" w:hAnsi="仿宋"/>
            <w:noProof/>
            <w:webHidden/>
            <w:sz w:val="28"/>
            <w:szCs w:val="28"/>
          </w:rPr>
          <w:fldChar w:fldCharType="separate"/>
        </w:r>
        <w:r w:rsidR="009F707E" w:rsidRPr="009F707E">
          <w:rPr>
            <w:rFonts w:ascii="仿宋" w:eastAsia="仿宋" w:hAnsi="仿宋"/>
            <w:noProof/>
            <w:webHidden/>
            <w:sz w:val="28"/>
            <w:szCs w:val="28"/>
          </w:rPr>
          <w:t>17</w:t>
        </w:r>
        <w:r w:rsidRPr="009F707E">
          <w:rPr>
            <w:rFonts w:ascii="仿宋" w:eastAsia="仿宋" w:hAnsi="仿宋"/>
            <w:noProof/>
            <w:webHidden/>
            <w:sz w:val="28"/>
            <w:szCs w:val="28"/>
          </w:rPr>
          <w:fldChar w:fldCharType="end"/>
        </w:r>
      </w:hyperlink>
    </w:p>
    <w:p w:rsidR="009F707E" w:rsidRPr="009F707E" w:rsidRDefault="00DF399F">
      <w:pPr>
        <w:pStyle w:val="10"/>
        <w:rPr>
          <w:rFonts w:ascii="仿宋" w:eastAsia="仿宋" w:hAnsi="仿宋"/>
          <w:b w:val="0"/>
          <w:noProof/>
          <w:sz w:val="28"/>
          <w:szCs w:val="28"/>
        </w:rPr>
      </w:pPr>
      <w:hyperlink w:anchor="_Toc72500603" w:history="1">
        <w:r w:rsidR="009F707E" w:rsidRPr="009F707E">
          <w:rPr>
            <w:rStyle w:val="ac"/>
            <w:rFonts w:ascii="仿宋" w:eastAsia="仿宋" w:hAnsi="仿宋" w:hint="eastAsia"/>
            <w:noProof/>
            <w:sz w:val="28"/>
            <w:szCs w:val="28"/>
          </w:rPr>
          <w:t>五、主要经验及做法、存在的问题及原因分析</w:t>
        </w:r>
        <w:r w:rsidR="009F707E" w:rsidRPr="009F707E">
          <w:rPr>
            <w:rFonts w:ascii="仿宋" w:eastAsia="仿宋" w:hAnsi="仿宋"/>
            <w:noProof/>
            <w:webHidden/>
            <w:sz w:val="28"/>
            <w:szCs w:val="28"/>
          </w:rPr>
          <w:tab/>
        </w:r>
        <w:r w:rsidRPr="009F707E">
          <w:rPr>
            <w:rFonts w:ascii="仿宋" w:eastAsia="仿宋" w:hAnsi="仿宋"/>
            <w:noProof/>
            <w:webHidden/>
            <w:sz w:val="28"/>
            <w:szCs w:val="28"/>
          </w:rPr>
          <w:fldChar w:fldCharType="begin"/>
        </w:r>
        <w:r w:rsidR="009F707E" w:rsidRPr="009F707E">
          <w:rPr>
            <w:rFonts w:ascii="仿宋" w:eastAsia="仿宋" w:hAnsi="仿宋"/>
            <w:noProof/>
            <w:webHidden/>
            <w:sz w:val="28"/>
            <w:szCs w:val="28"/>
          </w:rPr>
          <w:instrText xml:space="preserve"> PAGEREF _Toc72500603 \h </w:instrText>
        </w:r>
        <w:r w:rsidRPr="009F707E">
          <w:rPr>
            <w:rFonts w:ascii="仿宋" w:eastAsia="仿宋" w:hAnsi="仿宋"/>
            <w:noProof/>
            <w:webHidden/>
            <w:sz w:val="28"/>
            <w:szCs w:val="28"/>
          </w:rPr>
        </w:r>
        <w:r w:rsidRPr="009F707E">
          <w:rPr>
            <w:rFonts w:ascii="仿宋" w:eastAsia="仿宋" w:hAnsi="仿宋"/>
            <w:noProof/>
            <w:webHidden/>
            <w:sz w:val="28"/>
            <w:szCs w:val="28"/>
          </w:rPr>
          <w:fldChar w:fldCharType="separate"/>
        </w:r>
        <w:r w:rsidR="009F707E" w:rsidRPr="009F707E">
          <w:rPr>
            <w:rFonts w:ascii="仿宋" w:eastAsia="仿宋" w:hAnsi="仿宋"/>
            <w:noProof/>
            <w:webHidden/>
            <w:sz w:val="28"/>
            <w:szCs w:val="28"/>
          </w:rPr>
          <w:t>19</w:t>
        </w:r>
        <w:r w:rsidRPr="009F707E">
          <w:rPr>
            <w:rFonts w:ascii="仿宋" w:eastAsia="仿宋" w:hAnsi="仿宋"/>
            <w:noProof/>
            <w:webHidden/>
            <w:sz w:val="28"/>
            <w:szCs w:val="28"/>
          </w:rPr>
          <w:fldChar w:fldCharType="end"/>
        </w:r>
      </w:hyperlink>
    </w:p>
    <w:p w:rsidR="009F707E" w:rsidRPr="009F707E" w:rsidRDefault="00DF399F">
      <w:pPr>
        <w:pStyle w:val="20"/>
        <w:rPr>
          <w:rFonts w:ascii="仿宋" w:eastAsia="仿宋" w:hAnsi="仿宋"/>
          <w:noProof/>
          <w:sz w:val="28"/>
          <w:szCs w:val="28"/>
        </w:rPr>
      </w:pPr>
      <w:hyperlink w:anchor="_Toc72500604" w:history="1">
        <w:r w:rsidR="009F707E" w:rsidRPr="009F707E">
          <w:rPr>
            <w:rStyle w:val="ac"/>
            <w:rFonts w:ascii="仿宋" w:eastAsia="仿宋" w:hAnsi="仿宋" w:hint="eastAsia"/>
            <w:noProof/>
            <w:sz w:val="28"/>
            <w:szCs w:val="28"/>
          </w:rPr>
          <w:t>（一）主要经验及做法</w:t>
        </w:r>
        <w:r w:rsidR="009F707E" w:rsidRPr="009F707E">
          <w:rPr>
            <w:rFonts w:ascii="仿宋" w:eastAsia="仿宋" w:hAnsi="仿宋"/>
            <w:noProof/>
            <w:webHidden/>
            <w:sz w:val="28"/>
            <w:szCs w:val="28"/>
          </w:rPr>
          <w:tab/>
        </w:r>
        <w:r w:rsidRPr="009F707E">
          <w:rPr>
            <w:rFonts w:ascii="仿宋" w:eastAsia="仿宋" w:hAnsi="仿宋"/>
            <w:noProof/>
            <w:webHidden/>
            <w:sz w:val="28"/>
            <w:szCs w:val="28"/>
          </w:rPr>
          <w:fldChar w:fldCharType="begin"/>
        </w:r>
        <w:r w:rsidR="009F707E" w:rsidRPr="009F707E">
          <w:rPr>
            <w:rFonts w:ascii="仿宋" w:eastAsia="仿宋" w:hAnsi="仿宋"/>
            <w:noProof/>
            <w:webHidden/>
            <w:sz w:val="28"/>
            <w:szCs w:val="28"/>
          </w:rPr>
          <w:instrText xml:space="preserve"> PAGEREF _Toc72500604 \h </w:instrText>
        </w:r>
        <w:r w:rsidRPr="009F707E">
          <w:rPr>
            <w:rFonts w:ascii="仿宋" w:eastAsia="仿宋" w:hAnsi="仿宋"/>
            <w:noProof/>
            <w:webHidden/>
            <w:sz w:val="28"/>
            <w:szCs w:val="28"/>
          </w:rPr>
        </w:r>
        <w:r w:rsidRPr="009F707E">
          <w:rPr>
            <w:rFonts w:ascii="仿宋" w:eastAsia="仿宋" w:hAnsi="仿宋"/>
            <w:noProof/>
            <w:webHidden/>
            <w:sz w:val="28"/>
            <w:szCs w:val="28"/>
          </w:rPr>
          <w:fldChar w:fldCharType="separate"/>
        </w:r>
        <w:r w:rsidR="009F707E" w:rsidRPr="009F707E">
          <w:rPr>
            <w:rFonts w:ascii="仿宋" w:eastAsia="仿宋" w:hAnsi="仿宋"/>
            <w:noProof/>
            <w:webHidden/>
            <w:sz w:val="28"/>
            <w:szCs w:val="28"/>
          </w:rPr>
          <w:t>19</w:t>
        </w:r>
        <w:r w:rsidRPr="009F707E">
          <w:rPr>
            <w:rFonts w:ascii="仿宋" w:eastAsia="仿宋" w:hAnsi="仿宋"/>
            <w:noProof/>
            <w:webHidden/>
            <w:sz w:val="28"/>
            <w:szCs w:val="28"/>
          </w:rPr>
          <w:fldChar w:fldCharType="end"/>
        </w:r>
      </w:hyperlink>
    </w:p>
    <w:p w:rsidR="009F707E" w:rsidRPr="009F707E" w:rsidRDefault="00DF399F">
      <w:pPr>
        <w:pStyle w:val="20"/>
        <w:rPr>
          <w:rFonts w:ascii="仿宋" w:eastAsia="仿宋" w:hAnsi="仿宋"/>
          <w:noProof/>
          <w:sz w:val="28"/>
          <w:szCs w:val="28"/>
        </w:rPr>
      </w:pPr>
      <w:hyperlink w:anchor="_Toc72500605" w:history="1">
        <w:r w:rsidR="009F707E" w:rsidRPr="009F707E">
          <w:rPr>
            <w:rStyle w:val="ac"/>
            <w:rFonts w:ascii="仿宋" w:eastAsia="仿宋" w:hAnsi="仿宋" w:hint="eastAsia"/>
            <w:noProof/>
            <w:sz w:val="28"/>
            <w:szCs w:val="28"/>
          </w:rPr>
          <w:t>（二）存在的问题及原因分析</w:t>
        </w:r>
        <w:r w:rsidR="009F707E" w:rsidRPr="009F707E">
          <w:rPr>
            <w:rFonts w:ascii="仿宋" w:eastAsia="仿宋" w:hAnsi="仿宋"/>
            <w:noProof/>
            <w:webHidden/>
            <w:sz w:val="28"/>
            <w:szCs w:val="28"/>
          </w:rPr>
          <w:tab/>
        </w:r>
        <w:r w:rsidRPr="009F707E">
          <w:rPr>
            <w:rFonts w:ascii="仿宋" w:eastAsia="仿宋" w:hAnsi="仿宋"/>
            <w:noProof/>
            <w:webHidden/>
            <w:sz w:val="28"/>
            <w:szCs w:val="28"/>
          </w:rPr>
          <w:fldChar w:fldCharType="begin"/>
        </w:r>
        <w:r w:rsidR="009F707E" w:rsidRPr="009F707E">
          <w:rPr>
            <w:rFonts w:ascii="仿宋" w:eastAsia="仿宋" w:hAnsi="仿宋"/>
            <w:noProof/>
            <w:webHidden/>
            <w:sz w:val="28"/>
            <w:szCs w:val="28"/>
          </w:rPr>
          <w:instrText xml:space="preserve"> PAGEREF _Toc72500605 \h </w:instrText>
        </w:r>
        <w:r w:rsidRPr="009F707E">
          <w:rPr>
            <w:rFonts w:ascii="仿宋" w:eastAsia="仿宋" w:hAnsi="仿宋"/>
            <w:noProof/>
            <w:webHidden/>
            <w:sz w:val="28"/>
            <w:szCs w:val="28"/>
          </w:rPr>
        </w:r>
        <w:r w:rsidRPr="009F707E">
          <w:rPr>
            <w:rFonts w:ascii="仿宋" w:eastAsia="仿宋" w:hAnsi="仿宋"/>
            <w:noProof/>
            <w:webHidden/>
            <w:sz w:val="28"/>
            <w:szCs w:val="28"/>
          </w:rPr>
          <w:fldChar w:fldCharType="separate"/>
        </w:r>
        <w:r w:rsidR="009F707E" w:rsidRPr="009F707E">
          <w:rPr>
            <w:rFonts w:ascii="仿宋" w:eastAsia="仿宋" w:hAnsi="仿宋"/>
            <w:noProof/>
            <w:webHidden/>
            <w:sz w:val="28"/>
            <w:szCs w:val="28"/>
          </w:rPr>
          <w:t>19</w:t>
        </w:r>
        <w:r w:rsidRPr="009F707E">
          <w:rPr>
            <w:rFonts w:ascii="仿宋" w:eastAsia="仿宋" w:hAnsi="仿宋"/>
            <w:noProof/>
            <w:webHidden/>
            <w:sz w:val="28"/>
            <w:szCs w:val="28"/>
          </w:rPr>
          <w:fldChar w:fldCharType="end"/>
        </w:r>
      </w:hyperlink>
    </w:p>
    <w:p w:rsidR="009F707E" w:rsidRPr="009F707E" w:rsidRDefault="00DF399F">
      <w:pPr>
        <w:pStyle w:val="10"/>
        <w:rPr>
          <w:rFonts w:ascii="仿宋" w:eastAsia="仿宋" w:hAnsi="仿宋"/>
          <w:b w:val="0"/>
          <w:noProof/>
          <w:sz w:val="28"/>
          <w:szCs w:val="28"/>
        </w:rPr>
      </w:pPr>
      <w:hyperlink w:anchor="_Toc72500606" w:history="1">
        <w:r w:rsidR="009F707E" w:rsidRPr="009F707E">
          <w:rPr>
            <w:rStyle w:val="ac"/>
            <w:rFonts w:ascii="仿宋" w:eastAsia="仿宋" w:hAnsi="仿宋" w:hint="eastAsia"/>
            <w:noProof/>
            <w:sz w:val="28"/>
            <w:szCs w:val="28"/>
          </w:rPr>
          <w:t>六、有关建议</w:t>
        </w:r>
        <w:r w:rsidR="009F707E" w:rsidRPr="009F707E">
          <w:rPr>
            <w:rFonts w:ascii="仿宋" w:eastAsia="仿宋" w:hAnsi="仿宋"/>
            <w:noProof/>
            <w:webHidden/>
            <w:sz w:val="28"/>
            <w:szCs w:val="28"/>
          </w:rPr>
          <w:tab/>
        </w:r>
        <w:r w:rsidRPr="009F707E">
          <w:rPr>
            <w:rFonts w:ascii="仿宋" w:eastAsia="仿宋" w:hAnsi="仿宋"/>
            <w:noProof/>
            <w:webHidden/>
            <w:sz w:val="28"/>
            <w:szCs w:val="28"/>
          </w:rPr>
          <w:fldChar w:fldCharType="begin"/>
        </w:r>
        <w:r w:rsidR="009F707E" w:rsidRPr="009F707E">
          <w:rPr>
            <w:rFonts w:ascii="仿宋" w:eastAsia="仿宋" w:hAnsi="仿宋"/>
            <w:noProof/>
            <w:webHidden/>
            <w:sz w:val="28"/>
            <w:szCs w:val="28"/>
          </w:rPr>
          <w:instrText xml:space="preserve"> PAGEREF _Toc72500606 \h </w:instrText>
        </w:r>
        <w:r w:rsidRPr="009F707E">
          <w:rPr>
            <w:rFonts w:ascii="仿宋" w:eastAsia="仿宋" w:hAnsi="仿宋"/>
            <w:noProof/>
            <w:webHidden/>
            <w:sz w:val="28"/>
            <w:szCs w:val="28"/>
          </w:rPr>
        </w:r>
        <w:r w:rsidRPr="009F707E">
          <w:rPr>
            <w:rFonts w:ascii="仿宋" w:eastAsia="仿宋" w:hAnsi="仿宋"/>
            <w:noProof/>
            <w:webHidden/>
            <w:sz w:val="28"/>
            <w:szCs w:val="28"/>
          </w:rPr>
          <w:fldChar w:fldCharType="separate"/>
        </w:r>
        <w:r w:rsidR="009F707E" w:rsidRPr="009F707E">
          <w:rPr>
            <w:rFonts w:ascii="仿宋" w:eastAsia="仿宋" w:hAnsi="仿宋"/>
            <w:noProof/>
            <w:webHidden/>
            <w:sz w:val="28"/>
            <w:szCs w:val="28"/>
          </w:rPr>
          <w:t>20</w:t>
        </w:r>
        <w:r w:rsidRPr="009F707E">
          <w:rPr>
            <w:rFonts w:ascii="仿宋" w:eastAsia="仿宋" w:hAnsi="仿宋"/>
            <w:noProof/>
            <w:webHidden/>
            <w:sz w:val="28"/>
            <w:szCs w:val="28"/>
          </w:rPr>
          <w:fldChar w:fldCharType="end"/>
        </w:r>
      </w:hyperlink>
    </w:p>
    <w:p w:rsidR="009F707E" w:rsidRDefault="00DF399F">
      <w:pPr>
        <w:pStyle w:val="10"/>
        <w:rPr>
          <w:rFonts w:ascii="Calibri" w:eastAsia="宋体"/>
          <w:b w:val="0"/>
          <w:noProof/>
          <w:sz w:val="21"/>
          <w:szCs w:val="22"/>
        </w:rPr>
      </w:pPr>
      <w:hyperlink w:anchor="_Toc72500607" w:history="1">
        <w:r w:rsidR="009F707E" w:rsidRPr="009F707E">
          <w:rPr>
            <w:rStyle w:val="ac"/>
            <w:rFonts w:ascii="仿宋" w:eastAsia="仿宋" w:hAnsi="仿宋" w:hint="eastAsia"/>
            <w:noProof/>
            <w:sz w:val="28"/>
            <w:szCs w:val="28"/>
          </w:rPr>
          <w:t>七、其他需要说明的问题</w:t>
        </w:r>
        <w:r w:rsidR="009F707E" w:rsidRPr="009F707E">
          <w:rPr>
            <w:rFonts w:ascii="仿宋" w:eastAsia="仿宋" w:hAnsi="仿宋"/>
            <w:noProof/>
            <w:webHidden/>
            <w:sz w:val="28"/>
            <w:szCs w:val="28"/>
          </w:rPr>
          <w:tab/>
        </w:r>
        <w:r w:rsidRPr="009F707E">
          <w:rPr>
            <w:rFonts w:ascii="仿宋" w:eastAsia="仿宋" w:hAnsi="仿宋"/>
            <w:noProof/>
            <w:webHidden/>
            <w:sz w:val="28"/>
            <w:szCs w:val="28"/>
          </w:rPr>
          <w:fldChar w:fldCharType="begin"/>
        </w:r>
        <w:r w:rsidR="009F707E" w:rsidRPr="009F707E">
          <w:rPr>
            <w:rFonts w:ascii="仿宋" w:eastAsia="仿宋" w:hAnsi="仿宋"/>
            <w:noProof/>
            <w:webHidden/>
            <w:sz w:val="28"/>
            <w:szCs w:val="28"/>
          </w:rPr>
          <w:instrText xml:space="preserve"> PAGEREF _Toc72500607 \h </w:instrText>
        </w:r>
        <w:r w:rsidRPr="009F707E">
          <w:rPr>
            <w:rFonts w:ascii="仿宋" w:eastAsia="仿宋" w:hAnsi="仿宋"/>
            <w:noProof/>
            <w:webHidden/>
            <w:sz w:val="28"/>
            <w:szCs w:val="28"/>
          </w:rPr>
        </w:r>
        <w:r w:rsidRPr="009F707E">
          <w:rPr>
            <w:rFonts w:ascii="仿宋" w:eastAsia="仿宋" w:hAnsi="仿宋"/>
            <w:noProof/>
            <w:webHidden/>
            <w:sz w:val="28"/>
            <w:szCs w:val="28"/>
          </w:rPr>
          <w:fldChar w:fldCharType="separate"/>
        </w:r>
        <w:r w:rsidR="009F707E" w:rsidRPr="009F707E">
          <w:rPr>
            <w:rFonts w:ascii="仿宋" w:eastAsia="仿宋" w:hAnsi="仿宋"/>
            <w:noProof/>
            <w:webHidden/>
            <w:sz w:val="28"/>
            <w:szCs w:val="28"/>
          </w:rPr>
          <w:t>21</w:t>
        </w:r>
        <w:r w:rsidRPr="009F707E">
          <w:rPr>
            <w:rFonts w:ascii="仿宋" w:eastAsia="仿宋" w:hAnsi="仿宋"/>
            <w:noProof/>
            <w:webHidden/>
            <w:sz w:val="28"/>
            <w:szCs w:val="28"/>
          </w:rPr>
          <w:fldChar w:fldCharType="end"/>
        </w:r>
      </w:hyperlink>
    </w:p>
    <w:p w:rsidR="00C0327D" w:rsidRDefault="00DF399F">
      <w:pPr>
        <w:pStyle w:val="1"/>
        <w:ind w:firstLine="562"/>
        <w:rPr>
          <w:rFonts w:ascii="仿宋" w:eastAsia="仿宋" w:hAnsi="仿宋"/>
          <w:color w:val="000000"/>
          <w:sz w:val="28"/>
          <w:szCs w:val="28"/>
        </w:rPr>
        <w:sectPr w:rsidR="00C0327D">
          <w:type w:val="continuous"/>
          <w:pgSz w:w="11906" w:h="16838"/>
          <w:pgMar w:top="1440" w:right="1797" w:bottom="1440" w:left="1797" w:header="851" w:footer="851" w:gutter="0"/>
          <w:pgNumType w:start="1"/>
          <w:cols w:space="720"/>
          <w:titlePg/>
          <w:docGrid w:type="lines" w:linePitch="312"/>
        </w:sectPr>
      </w:pPr>
      <w:r w:rsidRPr="00681B83">
        <w:rPr>
          <w:rFonts w:ascii="仿宋" w:eastAsia="仿宋" w:hAnsi="仿宋" w:hint="eastAsia"/>
          <w:color w:val="000000"/>
          <w:sz w:val="28"/>
          <w:szCs w:val="28"/>
        </w:rPr>
        <w:fldChar w:fldCharType="end"/>
      </w:r>
      <w:bookmarkStart w:id="0" w:name="_Toc169183181"/>
    </w:p>
    <w:p w:rsidR="00C0327D" w:rsidRDefault="00C0327D" w:rsidP="002343CE">
      <w:pPr>
        <w:spacing w:line="360" w:lineRule="auto"/>
        <w:ind w:leftChars="337" w:left="708" w:firstLineChars="3" w:firstLine="11"/>
        <w:jc w:val="center"/>
        <w:rPr>
          <w:rFonts w:ascii="宋体" w:hAnsi="宋体"/>
          <w:b/>
          <w:color w:val="000000"/>
          <w:sz w:val="36"/>
          <w:szCs w:val="28"/>
        </w:rPr>
      </w:pPr>
      <w:r>
        <w:rPr>
          <w:rFonts w:ascii="宋体" w:hAnsi="宋体" w:hint="eastAsia"/>
          <w:b/>
          <w:color w:val="000000"/>
          <w:sz w:val="36"/>
          <w:szCs w:val="28"/>
        </w:rPr>
        <w:lastRenderedPageBreak/>
        <w:t>北京市市场监督管理局</w:t>
      </w:r>
    </w:p>
    <w:p w:rsidR="00C0327D" w:rsidRDefault="00C0327D" w:rsidP="002343CE">
      <w:pPr>
        <w:spacing w:line="360" w:lineRule="auto"/>
        <w:ind w:leftChars="337" w:left="708" w:firstLineChars="3" w:firstLine="11"/>
        <w:jc w:val="center"/>
        <w:rPr>
          <w:rFonts w:ascii="宋体" w:hAnsi="宋体"/>
          <w:b/>
          <w:color w:val="000000"/>
          <w:sz w:val="36"/>
          <w:szCs w:val="28"/>
        </w:rPr>
      </w:pPr>
      <w:r>
        <w:rPr>
          <w:rFonts w:ascii="宋体" w:hAnsi="宋体" w:hint="eastAsia"/>
          <w:b/>
          <w:color w:val="000000"/>
          <w:sz w:val="36"/>
          <w:szCs w:val="28"/>
        </w:rPr>
        <w:t>2020年“追加2022年冬奥会和冬残奥会食品安全保障检验检测仪器设备配置项目尾款</w:t>
      </w:r>
      <w:r>
        <w:rPr>
          <w:rFonts w:ascii="宋体" w:hAnsi="宋体"/>
          <w:b/>
          <w:color w:val="000000"/>
          <w:sz w:val="36"/>
          <w:szCs w:val="28"/>
        </w:rPr>
        <w:t>”项目</w:t>
      </w:r>
    </w:p>
    <w:p w:rsidR="00C0327D" w:rsidRDefault="00C0327D" w:rsidP="002343CE">
      <w:pPr>
        <w:spacing w:line="360" w:lineRule="auto"/>
        <w:ind w:leftChars="337" w:left="708" w:firstLineChars="3" w:firstLine="11"/>
        <w:jc w:val="center"/>
        <w:rPr>
          <w:rFonts w:ascii="宋体" w:hAnsi="宋体"/>
          <w:b/>
          <w:color w:val="000000"/>
          <w:sz w:val="36"/>
          <w:szCs w:val="28"/>
        </w:rPr>
      </w:pPr>
      <w:r>
        <w:rPr>
          <w:rFonts w:ascii="宋体" w:hAnsi="宋体" w:hint="eastAsia"/>
          <w:b/>
          <w:color w:val="000000"/>
          <w:sz w:val="36"/>
          <w:szCs w:val="28"/>
        </w:rPr>
        <w:t>绩效评价报告</w:t>
      </w:r>
      <w:bookmarkEnd w:id="0"/>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为进一步提高财政支出管理水平，评价财政支出预期目标实现程度，考核财政支出效率和综合效果，为以后年度财政资金安排提供重要依据，根据《北京市项目支出绩效评价管理办法》（京财绩效〔2020〕2146号）和《北京市财政局关于开展2021年绩效自评工作的通知》（京财绩效〔2021〕283号）等文件规定，北京市市场监督管理局成立绩效评价工作组对2020年“追加2022年冬奥会和冬残奥会食品安全保障检验检测仪器设备配置项目尾款”项目决策、管理、及绩效情况开展整体评价，形成本绩效评价报告。</w:t>
      </w:r>
    </w:p>
    <w:p w:rsidR="00C0327D" w:rsidRPr="00C64930" w:rsidRDefault="00C0327D" w:rsidP="00084E6F">
      <w:pPr>
        <w:pStyle w:val="1"/>
        <w:spacing w:beforeLines="50" w:afterLines="50"/>
        <w:ind w:left="0" w:firstLine="562"/>
        <w:jc w:val="left"/>
        <w:rPr>
          <w:rFonts w:ascii="仿宋" w:eastAsia="仿宋" w:hAnsi="仿宋"/>
          <w:color w:val="000000"/>
          <w:sz w:val="28"/>
          <w:szCs w:val="28"/>
        </w:rPr>
      </w:pPr>
      <w:bookmarkStart w:id="1" w:name="_Toc72500590"/>
      <w:r w:rsidRPr="00C64930">
        <w:rPr>
          <w:rFonts w:ascii="仿宋" w:eastAsia="仿宋" w:hAnsi="仿宋" w:hint="eastAsia"/>
          <w:color w:val="000000"/>
          <w:sz w:val="28"/>
          <w:szCs w:val="28"/>
        </w:rPr>
        <w:t>一、基本情况</w:t>
      </w:r>
      <w:bookmarkEnd w:id="1"/>
    </w:p>
    <w:p w:rsidR="00C0327D" w:rsidRPr="00C64930" w:rsidRDefault="00C0327D" w:rsidP="00084E6F">
      <w:pPr>
        <w:pStyle w:val="2"/>
        <w:spacing w:beforeLines="50" w:afterLines="50" w:line="360" w:lineRule="auto"/>
        <w:ind w:firstLineChars="200" w:firstLine="562"/>
        <w:rPr>
          <w:rFonts w:ascii="仿宋" w:eastAsia="仿宋" w:hAnsi="仿宋"/>
          <w:sz w:val="28"/>
          <w:szCs w:val="28"/>
        </w:rPr>
      </w:pPr>
      <w:bookmarkStart w:id="2" w:name="_Toc72500591"/>
      <w:r w:rsidRPr="00C64930">
        <w:rPr>
          <w:rFonts w:ascii="仿宋" w:eastAsia="仿宋" w:hAnsi="仿宋" w:hint="eastAsia"/>
          <w:sz w:val="28"/>
          <w:szCs w:val="28"/>
        </w:rPr>
        <w:t>（一）项目概况</w:t>
      </w:r>
      <w:bookmarkEnd w:id="2"/>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1、项目背景和实施主体</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根据冬奥组委任务分解和原市食药局任务分工要求，在京食药监[2018]2号文件中明确由北京市食品安全监控和风险评估中心（以下简称“食安中心”）承担冬奥食源性兴奋剂检测服务工作。为切实提升冬奥供应食品的检验检测水平和能力，加强食品中未知物质和有毒有害物质检验鉴定技术能力，全方位提升服务保障水平，食安中心启动了“食品安全保障检验检测仪器设备配置项目”。该项目的实施主体为北京市食品安全监控和风险评估中心。</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lastRenderedPageBreak/>
        <w:t>2、主要内容及实施情况</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项目通过配备高效液相色谱串联质谱联用仪、气相色谱质谱联用仪、高效液相色谱仪等以及配套使用的前处理设备，用于应对冬奥会供应食品中食源性兴奋剂残留、农兽药残留、污染物、非法添加物等项目的检验检测工作，满足冬奥食品检测高灵敏度、高通量需求，为2022年冬奥会食品安全服务保障工作提供基础的设备支撑条件。</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3、资金投入和使用情况</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2022年冬奥会和冬残奥会食品安全保障检验检测仪器设备购置项目投入资金为14851.251万元，其中市财政资金投入14543.3854万元，自筹资金投入307.8656万元。</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2020年拨入项目尾款</w:t>
      </w:r>
      <w:r w:rsidRPr="0077616C">
        <w:rPr>
          <w:rFonts w:ascii="仿宋" w:eastAsia="仿宋" w:hAnsi="仿宋"/>
          <w:color w:val="000000"/>
          <w:sz w:val="28"/>
          <w:szCs w:val="28"/>
        </w:rPr>
        <w:t>1659.1166</w:t>
      </w:r>
      <w:r w:rsidRPr="0077616C">
        <w:rPr>
          <w:rFonts w:ascii="仿宋" w:eastAsia="仿宋" w:hAnsi="仿宋" w:hint="eastAsia"/>
          <w:color w:val="000000"/>
          <w:sz w:val="28"/>
          <w:szCs w:val="28"/>
        </w:rPr>
        <w:t>万元，其中财政资金1351.251万元，自筹资金307.8656万元。截至2021年4月30日实际支付项目资金</w:t>
      </w:r>
      <w:r w:rsidRPr="0077616C">
        <w:rPr>
          <w:rFonts w:ascii="仿宋" w:eastAsia="仿宋" w:hAnsi="仿宋"/>
          <w:color w:val="000000"/>
          <w:sz w:val="28"/>
          <w:szCs w:val="28"/>
        </w:rPr>
        <w:t>1659.1166</w:t>
      </w:r>
      <w:r w:rsidRPr="0077616C">
        <w:rPr>
          <w:rFonts w:ascii="仿宋" w:eastAsia="仿宋" w:hAnsi="仿宋" w:hint="eastAsia"/>
          <w:color w:val="000000"/>
          <w:sz w:val="28"/>
          <w:szCs w:val="28"/>
        </w:rPr>
        <w:t>万元，项目预算执行率100%。</w:t>
      </w:r>
    </w:p>
    <w:p w:rsidR="00C0327D" w:rsidRPr="00C64930" w:rsidRDefault="00C0327D" w:rsidP="00084E6F">
      <w:pPr>
        <w:pStyle w:val="2"/>
        <w:spacing w:beforeLines="50" w:afterLines="50" w:line="360" w:lineRule="auto"/>
        <w:ind w:firstLineChars="200" w:firstLine="562"/>
        <w:rPr>
          <w:rFonts w:ascii="仿宋" w:eastAsia="仿宋" w:hAnsi="仿宋"/>
          <w:sz w:val="28"/>
          <w:szCs w:val="28"/>
        </w:rPr>
      </w:pPr>
      <w:bookmarkStart w:id="3" w:name="_Toc72500592"/>
      <w:r w:rsidRPr="00C64930">
        <w:rPr>
          <w:rFonts w:ascii="仿宋" w:eastAsia="仿宋" w:hAnsi="仿宋" w:hint="eastAsia"/>
          <w:sz w:val="28"/>
          <w:szCs w:val="28"/>
        </w:rPr>
        <w:t>（二）项目绩效目标</w:t>
      </w:r>
      <w:bookmarkEnd w:id="3"/>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1、总体目标</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完成626台套光谱、色谱、质谱、微生物检验设备、分子生物检验设备的采购以及到货验收、安装调试和使用工作。开展冬奥会和冬残奥会供应食品抽检监测常规项目检验技术培训，启动食源性兴奋剂和有毒有害物质检验方法研究，提高现有仪器设备通量改善设备老化更新问题,保障冬奥会和冬残奥会食品安全保障工作顺利开展。</w:t>
      </w:r>
    </w:p>
    <w:p w:rsidR="00C0327D" w:rsidRPr="00C64930" w:rsidRDefault="00C0327D" w:rsidP="00084E6F">
      <w:pPr>
        <w:pStyle w:val="1"/>
        <w:spacing w:beforeLines="50" w:afterLines="50"/>
        <w:ind w:left="0" w:firstLine="562"/>
        <w:jc w:val="left"/>
        <w:rPr>
          <w:rFonts w:ascii="仿宋" w:eastAsia="仿宋" w:hAnsi="仿宋"/>
          <w:color w:val="000000"/>
          <w:sz w:val="28"/>
          <w:szCs w:val="28"/>
        </w:rPr>
      </w:pPr>
      <w:bookmarkStart w:id="4" w:name="_Toc72500593"/>
      <w:r w:rsidRPr="00C64930">
        <w:rPr>
          <w:rFonts w:ascii="仿宋" w:eastAsia="仿宋" w:hAnsi="仿宋" w:hint="eastAsia"/>
          <w:color w:val="000000"/>
          <w:sz w:val="28"/>
          <w:szCs w:val="28"/>
        </w:rPr>
        <w:t>二、绩效评价工作开展情况</w:t>
      </w:r>
      <w:bookmarkEnd w:id="4"/>
    </w:p>
    <w:p w:rsidR="00C0327D" w:rsidRPr="00C64930" w:rsidRDefault="00C0327D" w:rsidP="00084E6F">
      <w:pPr>
        <w:pStyle w:val="2"/>
        <w:spacing w:beforeLines="50" w:afterLines="50" w:line="360" w:lineRule="auto"/>
        <w:ind w:firstLineChars="200" w:firstLine="562"/>
        <w:rPr>
          <w:rFonts w:ascii="仿宋" w:eastAsia="仿宋" w:hAnsi="仿宋"/>
          <w:sz w:val="28"/>
          <w:szCs w:val="28"/>
        </w:rPr>
      </w:pPr>
      <w:bookmarkStart w:id="5" w:name="_Toc72500594"/>
      <w:r w:rsidRPr="00C64930">
        <w:rPr>
          <w:rFonts w:ascii="仿宋" w:eastAsia="仿宋" w:hAnsi="仿宋" w:hint="eastAsia"/>
          <w:sz w:val="28"/>
          <w:szCs w:val="28"/>
        </w:rPr>
        <w:lastRenderedPageBreak/>
        <w:t>（一）绩效评价目的、对象和范围</w:t>
      </w:r>
      <w:bookmarkEnd w:id="5"/>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1、评价目的</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通过对北京市市场监督管理局2020年“追加2022年冬奥会和冬残奥会食品安全保障检验检测仪器设备配置项目尾款”项目进行绩效评价，全面、客观地反映项目绩效，对预算管理执行过程中存在的不足提出合理化建议，使预算管理更加科学、规范，提高资金使用效率和效益。</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2、评价对象和范围</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（1）</w:t>
      </w:r>
      <w:r w:rsidRPr="0077616C">
        <w:rPr>
          <w:rFonts w:ascii="仿宋" w:eastAsia="仿宋" w:hAnsi="仿宋"/>
          <w:color w:val="000000"/>
          <w:sz w:val="28"/>
          <w:szCs w:val="28"/>
        </w:rPr>
        <w:t>本次绩效评价对象为北京市市场监督管理局</w:t>
      </w:r>
      <w:r w:rsidRPr="0077616C">
        <w:rPr>
          <w:rFonts w:ascii="仿宋" w:eastAsia="仿宋" w:hAnsi="仿宋" w:hint="eastAsia"/>
          <w:color w:val="000000"/>
          <w:sz w:val="28"/>
          <w:szCs w:val="28"/>
        </w:rPr>
        <w:t>2020年“追加2022年冬奥会和冬残奥会食品安全保障检验检测仪器设备配置项目尾款”项目。</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（2）评价范围包含项目的决策情况、资金投入管理和使用情况、相关管理制度办法的健全性及执行情况、实现的产出情况、取得的效益情况、其他相关内容。具体内容为：</w:t>
      </w:r>
    </w:p>
    <w:p w:rsidR="00C0327D" w:rsidRPr="0077616C" w:rsidRDefault="00DF399F" w:rsidP="0077616C">
      <w:pPr>
        <w:spacing w:line="360" w:lineRule="auto"/>
        <w:ind w:firstLineChars="200" w:firstLine="560"/>
        <w:rPr>
          <w:rFonts w:ascii="仿宋" w:eastAsia="仿宋" w:hAnsi="仿宋"/>
          <w:color w:val="000000"/>
          <w:sz w:val="28"/>
          <w:szCs w:val="28"/>
        </w:rPr>
      </w:pPr>
      <w:r w:rsidRPr="0077616C">
        <w:rPr>
          <w:rFonts w:ascii="仿宋" w:eastAsia="仿宋" w:hAnsi="仿宋"/>
          <w:color w:val="000000"/>
          <w:sz w:val="28"/>
          <w:szCs w:val="28"/>
        </w:rPr>
        <w:fldChar w:fldCharType="begin"/>
      </w:r>
      <w:r w:rsidR="00C0327D" w:rsidRPr="0077616C">
        <w:rPr>
          <w:rFonts w:ascii="仿宋" w:eastAsia="仿宋" w:hAnsi="仿宋"/>
          <w:color w:val="000000"/>
          <w:sz w:val="28"/>
          <w:szCs w:val="28"/>
        </w:rPr>
        <w:instrText xml:space="preserve"> </w:instrText>
      </w:r>
      <w:r w:rsidR="00C0327D" w:rsidRPr="0077616C">
        <w:rPr>
          <w:rFonts w:ascii="仿宋" w:eastAsia="仿宋" w:hAnsi="仿宋" w:hint="eastAsia"/>
          <w:color w:val="000000"/>
          <w:sz w:val="28"/>
          <w:szCs w:val="28"/>
        </w:rPr>
        <w:instrText>= 1 \* GB3</w:instrText>
      </w:r>
      <w:r w:rsidR="00C0327D" w:rsidRPr="0077616C">
        <w:rPr>
          <w:rFonts w:ascii="仿宋" w:eastAsia="仿宋" w:hAnsi="仿宋"/>
          <w:color w:val="000000"/>
          <w:sz w:val="28"/>
          <w:szCs w:val="28"/>
        </w:rPr>
        <w:instrText xml:space="preserve"> </w:instrText>
      </w:r>
      <w:r w:rsidRPr="0077616C">
        <w:rPr>
          <w:rFonts w:ascii="仿宋" w:eastAsia="仿宋" w:hAnsi="仿宋"/>
          <w:color w:val="000000"/>
          <w:sz w:val="28"/>
          <w:szCs w:val="28"/>
        </w:rPr>
        <w:fldChar w:fldCharType="separate"/>
      </w:r>
      <w:r w:rsidR="00C0327D" w:rsidRPr="0077616C">
        <w:rPr>
          <w:rFonts w:ascii="仿宋" w:eastAsia="仿宋" w:hAnsi="仿宋" w:hint="eastAsia"/>
          <w:color w:val="000000"/>
          <w:sz w:val="28"/>
          <w:szCs w:val="28"/>
        </w:rPr>
        <w:t>①</w:t>
      </w:r>
      <w:r w:rsidRPr="0077616C">
        <w:rPr>
          <w:rFonts w:ascii="仿宋" w:eastAsia="仿宋" w:hAnsi="仿宋"/>
          <w:color w:val="000000"/>
          <w:sz w:val="28"/>
          <w:szCs w:val="28"/>
        </w:rPr>
        <w:fldChar w:fldCharType="end"/>
      </w:r>
      <w:r w:rsidR="00C0327D" w:rsidRPr="0077616C">
        <w:rPr>
          <w:rFonts w:ascii="仿宋" w:eastAsia="仿宋" w:hAnsi="仿宋" w:hint="eastAsia"/>
          <w:color w:val="000000"/>
          <w:sz w:val="28"/>
          <w:szCs w:val="28"/>
        </w:rPr>
        <w:t>项目决策。主要是对项目立项、绩效目标、资金投入进行评价，包括立项依据充分性、立项程序规范性、绩效目标合理性、绩效指标明确性、预算编制科学性、资金分配合理性等。</w:t>
      </w:r>
    </w:p>
    <w:p w:rsidR="00C0327D" w:rsidRPr="0077616C" w:rsidRDefault="00DF399F" w:rsidP="0077616C">
      <w:pPr>
        <w:spacing w:line="360" w:lineRule="auto"/>
        <w:ind w:firstLineChars="200" w:firstLine="560"/>
        <w:rPr>
          <w:rFonts w:ascii="仿宋" w:eastAsia="仿宋" w:hAnsi="仿宋"/>
          <w:color w:val="000000"/>
          <w:sz w:val="28"/>
          <w:szCs w:val="28"/>
        </w:rPr>
      </w:pPr>
      <w:r w:rsidRPr="0077616C">
        <w:rPr>
          <w:rFonts w:ascii="仿宋" w:eastAsia="仿宋" w:hAnsi="仿宋"/>
          <w:color w:val="000000"/>
          <w:sz w:val="28"/>
          <w:szCs w:val="28"/>
        </w:rPr>
        <w:fldChar w:fldCharType="begin"/>
      </w:r>
      <w:r w:rsidR="00C0327D" w:rsidRPr="0077616C">
        <w:rPr>
          <w:rFonts w:ascii="仿宋" w:eastAsia="仿宋" w:hAnsi="仿宋"/>
          <w:color w:val="000000"/>
          <w:sz w:val="28"/>
          <w:szCs w:val="28"/>
        </w:rPr>
        <w:instrText xml:space="preserve"> </w:instrText>
      </w:r>
      <w:r w:rsidR="00C0327D" w:rsidRPr="0077616C">
        <w:rPr>
          <w:rFonts w:ascii="仿宋" w:eastAsia="仿宋" w:hAnsi="仿宋" w:hint="eastAsia"/>
          <w:color w:val="000000"/>
          <w:sz w:val="28"/>
          <w:szCs w:val="28"/>
        </w:rPr>
        <w:instrText>= 2 \* GB3</w:instrText>
      </w:r>
      <w:r w:rsidR="00C0327D" w:rsidRPr="0077616C">
        <w:rPr>
          <w:rFonts w:ascii="仿宋" w:eastAsia="仿宋" w:hAnsi="仿宋"/>
          <w:color w:val="000000"/>
          <w:sz w:val="28"/>
          <w:szCs w:val="28"/>
        </w:rPr>
        <w:instrText xml:space="preserve"> </w:instrText>
      </w:r>
      <w:r w:rsidRPr="0077616C">
        <w:rPr>
          <w:rFonts w:ascii="仿宋" w:eastAsia="仿宋" w:hAnsi="仿宋"/>
          <w:color w:val="000000"/>
          <w:sz w:val="28"/>
          <w:szCs w:val="28"/>
        </w:rPr>
        <w:fldChar w:fldCharType="separate"/>
      </w:r>
      <w:r w:rsidR="00C0327D" w:rsidRPr="0077616C">
        <w:rPr>
          <w:rFonts w:ascii="仿宋" w:eastAsia="仿宋" w:hAnsi="仿宋" w:hint="eastAsia"/>
          <w:color w:val="000000"/>
          <w:sz w:val="28"/>
          <w:szCs w:val="28"/>
        </w:rPr>
        <w:t>②</w:t>
      </w:r>
      <w:r w:rsidRPr="0077616C">
        <w:rPr>
          <w:rFonts w:ascii="仿宋" w:eastAsia="仿宋" w:hAnsi="仿宋"/>
          <w:color w:val="000000"/>
          <w:sz w:val="28"/>
          <w:szCs w:val="28"/>
        </w:rPr>
        <w:fldChar w:fldCharType="end"/>
      </w:r>
      <w:r w:rsidR="00C0327D" w:rsidRPr="0077616C">
        <w:rPr>
          <w:rFonts w:ascii="仿宋" w:eastAsia="仿宋" w:hAnsi="仿宋" w:hint="eastAsia"/>
          <w:color w:val="000000"/>
          <w:sz w:val="28"/>
          <w:szCs w:val="28"/>
        </w:rPr>
        <w:t>项目管理。主要是对项目资金管理及组织实施过程进行评价，包括资金到位、预算执行、资金使用合规性及管理制度建全性和执行的有效性等。</w:t>
      </w:r>
    </w:p>
    <w:p w:rsidR="00C0327D" w:rsidRPr="0077616C" w:rsidRDefault="00DF399F" w:rsidP="0077616C">
      <w:pPr>
        <w:spacing w:line="360" w:lineRule="auto"/>
        <w:ind w:firstLineChars="200" w:firstLine="560"/>
        <w:rPr>
          <w:rFonts w:ascii="仿宋" w:eastAsia="仿宋" w:hAnsi="仿宋"/>
          <w:color w:val="000000"/>
          <w:sz w:val="28"/>
          <w:szCs w:val="28"/>
        </w:rPr>
      </w:pPr>
      <w:r w:rsidRPr="0077616C">
        <w:rPr>
          <w:rFonts w:ascii="仿宋" w:eastAsia="仿宋" w:hAnsi="仿宋"/>
          <w:color w:val="000000"/>
          <w:sz w:val="28"/>
          <w:szCs w:val="28"/>
        </w:rPr>
        <w:fldChar w:fldCharType="begin"/>
      </w:r>
      <w:r w:rsidR="00C0327D" w:rsidRPr="0077616C">
        <w:rPr>
          <w:rFonts w:ascii="仿宋" w:eastAsia="仿宋" w:hAnsi="仿宋"/>
          <w:color w:val="000000"/>
          <w:sz w:val="28"/>
          <w:szCs w:val="28"/>
        </w:rPr>
        <w:instrText xml:space="preserve"> </w:instrText>
      </w:r>
      <w:r w:rsidR="00C0327D" w:rsidRPr="0077616C">
        <w:rPr>
          <w:rFonts w:ascii="仿宋" w:eastAsia="仿宋" w:hAnsi="仿宋" w:hint="eastAsia"/>
          <w:color w:val="000000"/>
          <w:sz w:val="28"/>
          <w:szCs w:val="28"/>
        </w:rPr>
        <w:instrText>= 3 \* GB3</w:instrText>
      </w:r>
      <w:r w:rsidR="00C0327D" w:rsidRPr="0077616C">
        <w:rPr>
          <w:rFonts w:ascii="仿宋" w:eastAsia="仿宋" w:hAnsi="仿宋"/>
          <w:color w:val="000000"/>
          <w:sz w:val="28"/>
          <w:szCs w:val="28"/>
        </w:rPr>
        <w:instrText xml:space="preserve"> </w:instrText>
      </w:r>
      <w:r w:rsidRPr="0077616C">
        <w:rPr>
          <w:rFonts w:ascii="仿宋" w:eastAsia="仿宋" w:hAnsi="仿宋"/>
          <w:color w:val="000000"/>
          <w:sz w:val="28"/>
          <w:szCs w:val="28"/>
        </w:rPr>
        <w:fldChar w:fldCharType="separate"/>
      </w:r>
      <w:r w:rsidR="00C0327D" w:rsidRPr="0077616C">
        <w:rPr>
          <w:rFonts w:ascii="仿宋" w:eastAsia="仿宋" w:hAnsi="仿宋" w:hint="eastAsia"/>
          <w:color w:val="000000"/>
          <w:sz w:val="28"/>
          <w:szCs w:val="28"/>
        </w:rPr>
        <w:t>③</w:t>
      </w:r>
      <w:r w:rsidRPr="0077616C">
        <w:rPr>
          <w:rFonts w:ascii="仿宋" w:eastAsia="仿宋" w:hAnsi="仿宋"/>
          <w:color w:val="000000"/>
          <w:sz w:val="28"/>
          <w:szCs w:val="28"/>
        </w:rPr>
        <w:fldChar w:fldCharType="end"/>
      </w:r>
      <w:r w:rsidR="00C0327D" w:rsidRPr="0077616C">
        <w:rPr>
          <w:rFonts w:ascii="仿宋" w:eastAsia="仿宋" w:hAnsi="仿宋" w:hint="eastAsia"/>
          <w:color w:val="000000"/>
          <w:sz w:val="28"/>
          <w:szCs w:val="28"/>
        </w:rPr>
        <w:t>项目绩效。主要是对项目产出、效果及满意度进行评价，包括项目产出数量、产出质量、产出时效、产出成本是否与目标一致；项</w:t>
      </w:r>
      <w:r w:rsidR="00C0327D" w:rsidRPr="0077616C">
        <w:rPr>
          <w:rFonts w:ascii="仿宋" w:eastAsia="仿宋" w:hAnsi="仿宋" w:hint="eastAsia"/>
          <w:color w:val="000000"/>
          <w:sz w:val="28"/>
          <w:szCs w:val="28"/>
        </w:rPr>
        <w:lastRenderedPageBreak/>
        <w:t>目实施产生的经济效益、社会效益、可持续影响和服务对象满意度是否达到目标。</w:t>
      </w:r>
    </w:p>
    <w:p w:rsidR="00C0327D" w:rsidRPr="00C64930" w:rsidRDefault="00C0327D" w:rsidP="00084E6F">
      <w:pPr>
        <w:pStyle w:val="2"/>
        <w:spacing w:beforeLines="50" w:afterLines="50" w:line="360" w:lineRule="auto"/>
        <w:ind w:firstLineChars="200" w:firstLine="562"/>
        <w:rPr>
          <w:rFonts w:ascii="仿宋" w:eastAsia="仿宋" w:hAnsi="仿宋"/>
          <w:sz w:val="28"/>
          <w:szCs w:val="28"/>
        </w:rPr>
      </w:pPr>
      <w:bookmarkStart w:id="6" w:name="_Toc72500595"/>
      <w:r w:rsidRPr="00C64930">
        <w:rPr>
          <w:rFonts w:ascii="仿宋" w:eastAsia="仿宋" w:hAnsi="仿宋" w:hint="eastAsia"/>
          <w:sz w:val="28"/>
          <w:szCs w:val="28"/>
        </w:rPr>
        <w:t>（二）绩效评价原则、评价指标体系（附表说明）、评价方法、评价标准等</w:t>
      </w:r>
      <w:bookmarkEnd w:id="6"/>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1、绩效评价原则</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本次绩效评价工作遵循“科学规范、公开公正、分级分类、绩效相关”原则。</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（1）科学公正。绩效评价应当运用科学合理的方法，按照规范的程序，对项目绩效进行客观、公正的反映。</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2）统筹兼顾。单位自评、部门评价和财政评价应职责明确，各有侧重，相互衔接。单位自评应由项目单位自主实施,即“谁支出,谁自评”。部门评价和财政评价应在单位自评的基础上开展，必要时可委托第三方机构实施。</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（3）激励约束。绩效评价结果应用与预算安排、政策调整、改进管理实质性挂钩，体现奖优罚劣和激励相容导向，有效要安排、低效要减压、无效要问责。</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（4）公开透明。绩效评价结果应依法依规公开，并自觉接受社会监督。</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2、评价指标体系（附表说明）</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评价工作组根据《北京市项目支出绩效评价管理办法》（京财绩效〔2020〕2146号），结合评价对象特点及具体实施情况，围绕项目决策、项目管理及项目绩效，制定了本项目绩效评价指标体系和指标</w:t>
      </w:r>
      <w:r w:rsidRPr="0077616C">
        <w:rPr>
          <w:rFonts w:ascii="仿宋" w:eastAsia="仿宋" w:hAnsi="仿宋" w:hint="eastAsia"/>
          <w:color w:val="000000"/>
          <w:sz w:val="28"/>
          <w:szCs w:val="28"/>
        </w:rPr>
        <w:lastRenderedPageBreak/>
        <w:t>权重，依据突出结果导向原则，</w:t>
      </w:r>
      <w:r w:rsidRPr="0077616C">
        <w:rPr>
          <w:rFonts w:ascii="仿宋" w:eastAsia="仿宋" w:hAnsi="仿宋"/>
          <w:color w:val="000000"/>
          <w:sz w:val="28"/>
          <w:szCs w:val="28"/>
        </w:rPr>
        <w:t>项目决策权重占1</w:t>
      </w:r>
      <w:r w:rsidRPr="0077616C">
        <w:rPr>
          <w:rFonts w:ascii="仿宋" w:eastAsia="仿宋" w:hAnsi="仿宋" w:hint="eastAsia"/>
          <w:color w:val="000000"/>
          <w:sz w:val="28"/>
          <w:szCs w:val="28"/>
        </w:rPr>
        <w:t>5</w:t>
      </w:r>
      <w:r w:rsidRPr="0077616C">
        <w:rPr>
          <w:rFonts w:ascii="仿宋" w:eastAsia="仿宋" w:hAnsi="仿宋"/>
          <w:color w:val="000000"/>
          <w:sz w:val="28"/>
          <w:szCs w:val="28"/>
        </w:rPr>
        <w:t>%，项目管理权重占2</w:t>
      </w:r>
      <w:r w:rsidRPr="0077616C">
        <w:rPr>
          <w:rFonts w:ascii="仿宋" w:eastAsia="仿宋" w:hAnsi="仿宋" w:hint="eastAsia"/>
          <w:color w:val="000000"/>
          <w:sz w:val="28"/>
          <w:szCs w:val="28"/>
        </w:rPr>
        <w:t>5</w:t>
      </w:r>
      <w:r w:rsidRPr="0077616C">
        <w:rPr>
          <w:rFonts w:ascii="仿宋" w:eastAsia="仿宋" w:hAnsi="仿宋"/>
          <w:color w:val="000000"/>
          <w:sz w:val="28"/>
          <w:szCs w:val="28"/>
        </w:rPr>
        <w:t>%，项目产出权重占</w:t>
      </w:r>
      <w:r w:rsidRPr="0077616C">
        <w:rPr>
          <w:rFonts w:ascii="仿宋" w:eastAsia="仿宋" w:hAnsi="仿宋" w:hint="eastAsia"/>
          <w:color w:val="000000"/>
          <w:sz w:val="28"/>
          <w:szCs w:val="28"/>
        </w:rPr>
        <w:t>3</w:t>
      </w:r>
      <w:r w:rsidRPr="0077616C">
        <w:rPr>
          <w:rFonts w:ascii="仿宋" w:eastAsia="仿宋" w:hAnsi="仿宋"/>
          <w:color w:val="000000"/>
          <w:sz w:val="28"/>
          <w:szCs w:val="28"/>
        </w:rPr>
        <w:t>0%，项目效益权重占30%</w:t>
      </w:r>
      <w:r w:rsidRPr="0077616C">
        <w:rPr>
          <w:rFonts w:ascii="仿宋" w:eastAsia="仿宋" w:hAnsi="仿宋" w:hint="eastAsia"/>
          <w:color w:val="000000"/>
          <w:sz w:val="28"/>
          <w:szCs w:val="28"/>
        </w:rPr>
        <w:t>。在咨询专家组意见后，确定为该项目最终绩效评价指标体系。</w:t>
      </w:r>
    </w:p>
    <w:p w:rsidR="00C0327D" w:rsidRPr="0077616C" w:rsidRDefault="00C0327D" w:rsidP="0077616C">
      <w:pPr>
        <w:spacing w:line="360" w:lineRule="auto"/>
        <w:ind w:firstLineChars="200" w:firstLine="560"/>
        <w:rPr>
          <w:rFonts w:ascii="仿宋" w:eastAsia="仿宋" w:hAnsi="仿宋"/>
          <w:color w:val="000000"/>
          <w:sz w:val="28"/>
          <w:szCs w:val="28"/>
        </w:rPr>
      </w:pPr>
    </w:p>
    <w:p w:rsidR="00C0327D" w:rsidRDefault="00C0327D">
      <w:pPr>
        <w:spacing w:line="560" w:lineRule="exact"/>
        <w:ind w:firstLineChars="200" w:firstLine="560"/>
        <w:rPr>
          <w:rFonts w:ascii="仿宋" w:eastAsia="仿宋" w:hAnsi="仿宋"/>
          <w:color w:val="000000"/>
          <w:kern w:val="0"/>
          <w:sz w:val="28"/>
          <w:szCs w:val="28"/>
        </w:rPr>
      </w:pPr>
    </w:p>
    <w:p w:rsidR="00C0327D" w:rsidRDefault="00C0327D">
      <w:pPr>
        <w:spacing w:line="560" w:lineRule="exact"/>
        <w:ind w:firstLineChars="200" w:firstLine="560"/>
        <w:rPr>
          <w:rFonts w:ascii="仿宋" w:eastAsia="仿宋" w:hAnsi="仿宋"/>
          <w:color w:val="000000"/>
          <w:kern w:val="0"/>
          <w:sz w:val="28"/>
          <w:szCs w:val="28"/>
        </w:rPr>
      </w:pPr>
    </w:p>
    <w:p w:rsidR="00C0327D" w:rsidRDefault="00C0327D">
      <w:pPr>
        <w:spacing w:line="560" w:lineRule="exact"/>
        <w:rPr>
          <w:rFonts w:ascii="仿宋" w:eastAsia="仿宋" w:hAnsi="仿宋"/>
          <w:color w:val="000000"/>
          <w:kern w:val="0"/>
          <w:sz w:val="28"/>
          <w:szCs w:val="28"/>
        </w:rPr>
        <w:sectPr w:rsidR="00C0327D">
          <w:footerReference w:type="even" r:id="rId21"/>
          <w:footerReference w:type="default" r:id="rId22"/>
          <w:pgSz w:w="11906" w:h="16838"/>
          <w:pgMar w:top="1418" w:right="1558" w:bottom="851" w:left="1843" w:header="851" w:footer="992" w:gutter="0"/>
          <w:pgNumType w:start="1"/>
          <w:cols w:space="720"/>
          <w:docGrid w:type="linesAndChars" w:linePitch="312"/>
        </w:sectPr>
      </w:pPr>
    </w:p>
    <w:tbl>
      <w:tblPr>
        <w:tblW w:w="1489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4"/>
        <w:gridCol w:w="851"/>
        <w:gridCol w:w="850"/>
        <w:gridCol w:w="2410"/>
        <w:gridCol w:w="567"/>
        <w:gridCol w:w="992"/>
        <w:gridCol w:w="851"/>
        <w:gridCol w:w="7654"/>
      </w:tblGrid>
      <w:tr w:rsidR="00000067" w:rsidTr="00000067">
        <w:trPr>
          <w:trHeight w:hRule="exact" w:val="340"/>
        </w:trPr>
        <w:tc>
          <w:tcPr>
            <w:tcW w:w="724" w:type="dxa"/>
            <w:vMerge w:val="restart"/>
            <w:shd w:val="clear" w:color="auto" w:fill="auto"/>
            <w:noWrap/>
            <w:vAlign w:val="center"/>
            <w:hideMark/>
          </w:tcPr>
          <w:p w:rsidR="00000067" w:rsidRDefault="00000067">
            <w:pPr>
              <w:jc w:val="center"/>
              <w:rPr>
                <w:rFonts w:ascii="宋体" w:hAnsi="宋体" w:cs="宋体"/>
                <w:b/>
                <w:bCs/>
                <w:color w:val="000000"/>
                <w:sz w:val="16"/>
                <w:szCs w:val="16"/>
              </w:rPr>
            </w:pPr>
            <w:r>
              <w:rPr>
                <w:rFonts w:hint="eastAsia"/>
                <w:b/>
                <w:bCs/>
                <w:color w:val="000000"/>
                <w:sz w:val="16"/>
                <w:szCs w:val="16"/>
              </w:rPr>
              <w:lastRenderedPageBreak/>
              <w:t>一级</w:t>
            </w:r>
          </w:p>
        </w:tc>
        <w:tc>
          <w:tcPr>
            <w:tcW w:w="851" w:type="dxa"/>
            <w:vMerge w:val="restart"/>
            <w:shd w:val="clear" w:color="auto" w:fill="auto"/>
            <w:noWrap/>
            <w:vAlign w:val="center"/>
            <w:hideMark/>
          </w:tcPr>
          <w:p w:rsidR="00000067" w:rsidRDefault="00000067">
            <w:pPr>
              <w:jc w:val="center"/>
              <w:rPr>
                <w:rFonts w:ascii="宋体" w:hAnsi="宋体" w:cs="宋体"/>
                <w:b/>
                <w:bCs/>
                <w:color w:val="000000"/>
                <w:sz w:val="16"/>
                <w:szCs w:val="16"/>
              </w:rPr>
            </w:pPr>
            <w:r>
              <w:rPr>
                <w:rFonts w:hint="eastAsia"/>
                <w:b/>
                <w:bCs/>
                <w:color w:val="000000"/>
                <w:sz w:val="16"/>
                <w:szCs w:val="16"/>
              </w:rPr>
              <w:t>二级</w:t>
            </w:r>
          </w:p>
        </w:tc>
        <w:tc>
          <w:tcPr>
            <w:tcW w:w="850" w:type="dxa"/>
            <w:vMerge w:val="restart"/>
            <w:shd w:val="clear" w:color="auto" w:fill="auto"/>
            <w:noWrap/>
            <w:vAlign w:val="center"/>
            <w:hideMark/>
          </w:tcPr>
          <w:p w:rsidR="00000067" w:rsidRDefault="00000067">
            <w:pPr>
              <w:jc w:val="center"/>
              <w:rPr>
                <w:rFonts w:ascii="宋体" w:hAnsi="宋体" w:cs="宋体"/>
                <w:b/>
                <w:bCs/>
                <w:color w:val="000000"/>
                <w:sz w:val="16"/>
                <w:szCs w:val="16"/>
              </w:rPr>
            </w:pPr>
            <w:r>
              <w:rPr>
                <w:rFonts w:hint="eastAsia"/>
                <w:b/>
                <w:bCs/>
                <w:color w:val="000000"/>
                <w:sz w:val="16"/>
                <w:szCs w:val="16"/>
              </w:rPr>
              <w:t>三级</w:t>
            </w:r>
          </w:p>
        </w:tc>
        <w:tc>
          <w:tcPr>
            <w:tcW w:w="2410" w:type="dxa"/>
            <w:vMerge w:val="restart"/>
            <w:shd w:val="clear" w:color="auto" w:fill="auto"/>
            <w:noWrap/>
            <w:vAlign w:val="center"/>
            <w:hideMark/>
          </w:tcPr>
          <w:p w:rsidR="00000067" w:rsidRDefault="00000067">
            <w:pPr>
              <w:jc w:val="center"/>
              <w:rPr>
                <w:rFonts w:ascii="宋体" w:hAnsi="宋体" w:cs="宋体"/>
                <w:b/>
                <w:bCs/>
                <w:color w:val="000000"/>
                <w:sz w:val="16"/>
                <w:szCs w:val="16"/>
              </w:rPr>
            </w:pPr>
            <w:r>
              <w:rPr>
                <w:rFonts w:hint="eastAsia"/>
                <w:b/>
                <w:bCs/>
                <w:color w:val="000000"/>
                <w:sz w:val="16"/>
                <w:szCs w:val="16"/>
              </w:rPr>
              <w:t>四级</w:t>
            </w:r>
          </w:p>
        </w:tc>
        <w:tc>
          <w:tcPr>
            <w:tcW w:w="567" w:type="dxa"/>
            <w:vMerge w:val="restart"/>
            <w:shd w:val="clear" w:color="auto" w:fill="auto"/>
            <w:noWrap/>
            <w:vAlign w:val="center"/>
            <w:hideMark/>
          </w:tcPr>
          <w:p w:rsidR="00000067" w:rsidRDefault="00000067">
            <w:pPr>
              <w:jc w:val="center"/>
              <w:rPr>
                <w:rFonts w:ascii="宋体" w:hAnsi="宋体" w:cs="宋体"/>
                <w:b/>
                <w:bCs/>
                <w:color w:val="000000"/>
                <w:sz w:val="16"/>
                <w:szCs w:val="16"/>
              </w:rPr>
            </w:pPr>
            <w:r>
              <w:rPr>
                <w:rFonts w:hint="eastAsia"/>
                <w:b/>
                <w:bCs/>
                <w:color w:val="000000"/>
                <w:sz w:val="16"/>
                <w:szCs w:val="16"/>
              </w:rPr>
              <w:t>分值</w:t>
            </w:r>
          </w:p>
        </w:tc>
        <w:tc>
          <w:tcPr>
            <w:tcW w:w="9497" w:type="dxa"/>
            <w:gridSpan w:val="3"/>
            <w:shd w:val="clear" w:color="auto" w:fill="auto"/>
            <w:noWrap/>
            <w:vAlign w:val="center"/>
            <w:hideMark/>
          </w:tcPr>
          <w:p w:rsidR="00000067" w:rsidRDefault="00000067">
            <w:pPr>
              <w:jc w:val="center"/>
              <w:rPr>
                <w:rFonts w:ascii="宋体" w:hAnsi="宋体" w:cs="宋体"/>
                <w:b/>
                <w:bCs/>
                <w:color w:val="000000"/>
                <w:sz w:val="16"/>
                <w:szCs w:val="16"/>
              </w:rPr>
            </w:pPr>
            <w:r>
              <w:rPr>
                <w:rFonts w:hint="eastAsia"/>
                <w:b/>
                <w:bCs/>
                <w:color w:val="000000"/>
                <w:sz w:val="16"/>
                <w:szCs w:val="16"/>
              </w:rPr>
              <w:t>评分规则及评分标准</w:t>
            </w:r>
          </w:p>
        </w:tc>
      </w:tr>
      <w:tr w:rsidR="00000067" w:rsidTr="00000067">
        <w:trPr>
          <w:trHeight w:hRule="exact" w:val="340"/>
        </w:trPr>
        <w:tc>
          <w:tcPr>
            <w:tcW w:w="724" w:type="dxa"/>
            <w:vMerge/>
            <w:vAlign w:val="center"/>
            <w:hideMark/>
          </w:tcPr>
          <w:p w:rsidR="00000067" w:rsidRDefault="00000067">
            <w:pPr>
              <w:rPr>
                <w:rFonts w:ascii="宋体" w:hAnsi="宋体" w:cs="宋体"/>
                <w:b/>
                <w:bCs/>
                <w:color w:val="000000"/>
                <w:sz w:val="16"/>
                <w:szCs w:val="16"/>
              </w:rPr>
            </w:pPr>
          </w:p>
        </w:tc>
        <w:tc>
          <w:tcPr>
            <w:tcW w:w="851" w:type="dxa"/>
            <w:vMerge/>
            <w:vAlign w:val="center"/>
            <w:hideMark/>
          </w:tcPr>
          <w:p w:rsidR="00000067" w:rsidRDefault="00000067">
            <w:pPr>
              <w:rPr>
                <w:rFonts w:ascii="宋体" w:hAnsi="宋体" w:cs="宋体"/>
                <w:b/>
                <w:bCs/>
                <w:color w:val="000000"/>
                <w:sz w:val="16"/>
                <w:szCs w:val="16"/>
              </w:rPr>
            </w:pPr>
          </w:p>
        </w:tc>
        <w:tc>
          <w:tcPr>
            <w:tcW w:w="850" w:type="dxa"/>
            <w:vMerge/>
            <w:vAlign w:val="center"/>
            <w:hideMark/>
          </w:tcPr>
          <w:p w:rsidR="00000067" w:rsidRDefault="00000067">
            <w:pPr>
              <w:rPr>
                <w:rFonts w:ascii="宋体" w:hAnsi="宋体" w:cs="宋体"/>
                <w:b/>
                <w:bCs/>
                <w:color w:val="000000"/>
                <w:sz w:val="16"/>
                <w:szCs w:val="16"/>
              </w:rPr>
            </w:pPr>
          </w:p>
        </w:tc>
        <w:tc>
          <w:tcPr>
            <w:tcW w:w="2410" w:type="dxa"/>
            <w:vMerge/>
            <w:vAlign w:val="center"/>
            <w:hideMark/>
          </w:tcPr>
          <w:p w:rsidR="00000067" w:rsidRDefault="00000067">
            <w:pPr>
              <w:rPr>
                <w:rFonts w:ascii="宋体" w:hAnsi="宋体" w:cs="宋体"/>
                <w:b/>
                <w:bCs/>
                <w:color w:val="000000"/>
                <w:sz w:val="16"/>
                <w:szCs w:val="16"/>
              </w:rPr>
            </w:pPr>
          </w:p>
        </w:tc>
        <w:tc>
          <w:tcPr>
            <w:tcW w:w="567" w:type="dxa"/>
            <w:vMerge/>
            <w:vAlign w:val="center"/>
            <w:hideMark/>
          </w:tcPr>
          <w:p w:rsidR="00000067" w:rsidRDefault="00000067">
            <w:pPr>
              <w:rPr>
                <w:rFonts w:ascii="宋体" w:hAnsi="宋体" w:cs="宋体"/>
                <w:b/>
                <w:bCs/>
                <w:color w:val="000000"/>
                <w:sz w:val="16"/>
                <w:szCs w:val="16"/>
              </w:rPr>
            </w:pPr>
          </w:p>
        </w:tc>
        <w:tc>
          <w:tcPr>
            <w:tcW w:w="992" w:type="dxa"/>
            <w:shd w:val="clear" w:color="auto" w:fill="auto"/>
            <w:vAlign w:val="center"/>
            <w:hideMark/>
          </w:tcPr>
          <w:p w:rsidR="00000067" w:rsidRDefault="00000067">
            <w:pPr>
              <w:jc w:val="center"/>
              <w:rPr>
                <w:rFonts w:ascii="宋体" w:hAnsi="宋体" w:cs="宋体"/>
                <w:b/>
                <w:bCs/>
                <w:color w:val="000000"/>
                <w:sz w:val="16"/>
                <w:szCs w:val="16"/>
              </w:rPr>
            </w:pPr>
            <w:r>
              <w:rPr>
                <w:rFonts w:hint="eastAsia"/>
                <w:b/>
                <w:bCs/>
                <w:color w:val="000000"/>
                <w:sz w:val="16"/>
                <w:szCs w:val="16"/>
              </w:rPr>
              <w:t>评分规则</w:t>
            </w:r>
          </w:p>
        </w:tc>
        <w:tc>
          <w:tcPr>
            <w:tcW w:w="851" w:type="dxa"/>
            <w:shd w:val="clear" w:color="auto" w:fill="auto"/>
            <w:vAlign w:val="center"/>
            <w:hideMark/>
          </w:tcPr>
          <w:p w:rsidR="00000067" w:rsidRDefault="00000067">
            <w:pPr>
              <w:jc w:val="center"/>
              <w:rPr>
                <w:rFonts w:ascii="宋体" w:hAnsi="宋体" w:cs="宋体"/>
                <w:b/>
                <w:bCs/>
                <w:color w:val="000000"/>
                <w:sz w:val="16"/>
                <w:szCs w:val="16"/>
              </w:rPr>
            </w:pPr>
            <w:r>
              <w:rPr>
                <w:rFonts w:hint="eastAsia"/>
                <w:b/>
                <w:bCs/>
                <w:color w:val="000000"/>
                <w:sz w:val="16"/>
                <w:szCs w:val="16"/>
              </w:rPr>
              <w:t>分值</w:t>
            </w:r>
          </w:p>
        </w:tc>
        <w:tc>
          <w:tcPr>
            <w:tcW w:w="7654" w:type="dxa"/>
            <w:shd w:val="clear" w:color="auto" w:fill="auto"/>
            <w:vAlign w:val="center"/>
            <w:hideMark/>
          </w:tcPr>
          <w:p w:rsidR="00000067" w:rsidRDefault="00000067">
            <w:pPr>
              <w:jc w:val="center"/>
              <w:rPr>
                <w:rFonts w:ascii="宋体" w:hAnsi="宋体" w:cs="宋体"/>
                <w:b/>
                <w:bCs/>
                <w:color w:val="000000"/>
                <w:sz w:val="16"/>
                <w:szCs w:val="16"/>
              </w:rPr>
            </w:pPr>
            <w:r>
              <w:rPr>
                <w:rFonts w:hint="eastAsia"/>
                <w:b/>
                <w:bCs/>
                <w:color w:val="000000"/>
                <w:sz w:val="16"/>
                <w:szCs w:val="16"/>
              </w:rPr>
              <w:t>评分标准</w:t>
            </w:r>
          </w:p>
        </w:tc>
      </w:tr>
      <w:tr w:rsidR="00000067" w:rsidTr="00000067">
        <w:trPr>
          <w:trHeight w:hRule="exact" w:val="340"/>
        </w:trPr>
        <w:tc>
          <w:tcPr>
            <w:tcW w:w="724"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项目决策（</w:t>
            </w:r>
            <w:r>
              <w:rPr>
                <w:rFonts w:hint="eastAsia"/>
                <w:sz w:val="16"/>
                <w:szCs w:val="16"/>
              </w:rPr>
              <w:t>15</w:t>
            </w:r>
            <w:r>
              <w:rPr>
                <w:rFonts w:hint="eastAsia"/>
                <w:sz w:val="16"/>
                <w:szCs w:val="16"/>
              </w:rPr>
              <w:t>分）</w:t>
            </w:r>
          </w:p>
        </w:tc>
        <w:tc>
          <w:tcPr>
            <w:tcW w:w="851"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项目立项（</w:t>
            </w:r>
            <w:r>
              <w:rPr>
                <w:rFonts w:hint="eastAsia"/>
                <w:sz w:val="16"/>
                <w:szCs w:val="16"/>
              </w:rPr>
              <w:t>5</w:t>
            </w:r>
            <w:r>
              <w:rPr>
                <w:rFonts w:hint="eastAsia"/>
                <w:sz w:val="16"/>
                <w:szCs w:val="16"/>
              </w:rPr>
              <w:t>分）</w:t>
            </w:r>
          </w:p>
        </w:tc>
        <w:tc>
          <w:tcPr>
            <w:tcW w:w="850"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立项依据充分性（</w:t>
            </w:r>
            <w:r>
              <w:rPr>
                <w:rFonts w:hint="eastAsia"/>
                <w:sz w:val="16"/>
                <w:szCs w:val="16"/>
              </w:rPr>
              <w:t>3</w:t>
            </w:r>
            <w:r>
              <w:rPr>
                <w:rFonts w:hint="eastAsia"/>
                <w:sz w:val="16"/>
                <w:szCs w:val="16"/>
              </w:rPr>
              <w:t>分）</w:t>
            </w:r>
          </w:p>
        </w:tc>
        <w:tc>
          <w:tcPr>
            <w:tcW w:w="2410"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项目与项目单位部门职能的相符性</w:t>
            </w:r>
          </w:p>
        </w:tc>
        <w:tc>
          <w:tcPr>
            <w:tcW w:w="567"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1</w:t>
            </w: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相符</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0.9-1.0</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A.</w:t>
            </w:r>
            <w:r>
              <w:rPr>
                <w:rFonts w:hint="eastAsia"/>
                <w:sz w:val="16"/>
                <w:szCs w:val="16"/>
              </w:rPr>
              <w:t>该项目本身与项目单位部门职能完全相符</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较相符</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0.7-0.9</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B.</w:t>
            </w:r>
            <w:r>
              <w:rPr>
                <w:rFonts w:hint="eastAsia"/>
                <w:sz w:val="16"/>
                <w:szCs w:val="16"/>
              </w:rPr>
              <w:t>该项目本身与项目单位职能较相符</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基本相符</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0.6-0.7</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C.</w:t>
            </w:r>
            <w:r>
              <w:rPr>
                <w:rFonts w:hint="eastAsia"/>
                <w:sz w:val="16"/>
                <w:szCs w:val="16"/>
              </w:rPr>
              <w:t>该项目本身与项目单位职能基本相符</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不相符</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0-0.6</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D.</w:t>
            </w:r>
            <w:r>
              <w:rPr>
                <w:rFonts w:hint="eastAsia"/>
                <w:sz w:val="16"/>
                <w:szCs w:val="16"/>
              </w:rPr>
              <w:t>该项目本身与项目单位职能不相符</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项目与相关政策、规划相符性</w:t>
            </w:r>
          </w:p>
        </w:tc>
        <w:tc>
          <w:tcPr>
            <w:tcW w:w="567"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2</w:t>
            </w: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相符</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1.8-2.0</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A.</w:t>
            </w:r>
            <w:r>
              <w:rPr>
                <w:rFonts w:hint="eastAsia"/>
                <w:sz w:val="16"/>
                <w:szCs w:val="16"/>
              </w:rPr>
              <w:t>项目与相关政策要求、单位长期事业发展规划及年度工作计划完全相符，前瞻性和可实施性强</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较相符</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1.5-1.8</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B.</w:t>
            </w:r>
            <w:r>
              <w:rPr>
                <w:rFonts w:hint="eastAsia"/>
                <w:sz w:val="16"/>
                <w:szCs w:val="16"/>
              </w:rPr>
              <w:t>项目与相关政策要求、单位长期事业发展规划及年度工作计划较相符，前瞻性和可实施性较强</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基本相符</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1.2-1.5</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C.</w:t>
            </w:r>
            <w:r>
              <w:rPr>
                <w:rFonts w:hint="eastAsia"/>
                <w:sz w:val="16"/>
                <w:szCs w:val="16"/>
              </w:rPr>
              <w:t>项目与相关政策要求、单位长期事业发展规划及年度工作计划基本相符，可实施性较差</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不相符</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0-1.2</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D.</w:t>
            </w:r>
            <w:r>
              <w:rPr>
                <w:rFonts w:hint="eastAsia"/>
                <w:sz w:val="16"/>
                <w:szCs w:val="16"/>
              </w:rPr>
              <w:t>项目与相关政策要求、单位长期事业发展规划及年度工作计划不符，可实施性差</w:t>
            </w:r>
          </w:p>
        </w:tc>
      </w:tr>
      <w:tr w:rsidR="00000067" w:rsidTr="00000067">
        <w:trPr>
          <w:trHeight w:hRule="exact" w:val="68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立项程规范性（</w:t>
            </w:r>
            <w:r>
              <w:rPr>
                <w:rFonts w:hint="eastAsia"/>
                <w:sz w:val="16"/>
                <w:szCs w:val="16"/>
              </w:rPr>
              <w:t>2</w:t>
            </w:r>
            <w:r>
              <w:rPr>
                <w:rFonts w:hint="eastAsia"/>
                <w:sz w:val="16"/>
                <w:szCs w:val="16"/>
              </w:rPr>
              <w:t>分）</w:t>
            </w:r>
          </w:p>
        </w:tc>
        <w:tc>
          <w:tcPr>
            <w:tcW w:w="2410"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项目立项论证的充分性</w:t>
            </w:r>
          </w:p>
        </w:tc>
        <w:tc>
          <w:tcPr>
            <w:tcW w:w="567"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1</w:t>
            </w: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充分</w:t>
            </w:r>
            <w:r>
              <w:rPr>
                <w:rFonts w:hint="eastAsia"/>
                <w:sz w:val="16"/>
                <w:szCs w:val="16"/>
              </w:rPr>
              <w:t xml:space="preserve"> </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0.9-1.0</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A.</w:t>
            </w:r>
            <w:r>
              <w:rPr>
                <w:rFonts w:hint="eastAsia"/>
                <w:sz w:val="16"/>
                <w:szCs w:val="16"/>
              </w:rPr>
              <w:t>项目开展了前期调研或可行性研究，对项目实施背景、现状、需求、风险了解充分，对项目的可行性进行了充分论证</w:t>
            </w:r>
          </w:p>
        </w:tc>
      </w:tr>
      <w:tr w:rsidR="00000067" w:rsidTr="00000067">
        <w:trPr>
          <w:trHeight w:hRule="exact" w:val="68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较充分</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0.7-0.9</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B.</w:t>
            </w:r>
            <w:r>
              <w:rPr>
                <w:rFonts w:hint="eastAsia"/>
                <w:sz w:val="16"/>
                <w:szCs w:val="16"/>
              </w:rPr>
              <w:t>项目开展了前期调研或可行性研究，对项目实施背景、现状、需求、风险了解比较深入，对项目的可行性论证比较充分</w:t>
            </w:r>
          </w:p>
        </w:tc>
      </w:tr>
      <w:tr w:rsidR="00000067" w:rsidTr="00000067">
        <w:trPr>
          <w:trHeight w:hRule="exact" w:val="68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不充分</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0.6-0.7</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C.</w:t>
            </w:r>
            <w:r>
              <w:rPr>
                <w:rFonts w:hint="eastAsia"/>
                <w:sz w:val="16"/>
                <w:szCs w:val="16"/>
              </w:rPr>
              <w:t>项目立项前，对项目实施背景、现状、需求、风险进行了一定程度的了解，对项目的可行性进行了简单的分析</w:t>
            </w:r>
          </w:p>
        </w:tc>
      </w:tr>
      <w:tr w:rsidR="00000067" w:rsidTr="00000067">
        <w:trPr>
          <w:trHeight w:hRule="exact" w:val="68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无</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0-0.6</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D.</w:t>
            </w:r>
            <w:r>
              <w:rPr>
                <w:rFonts w:hint="eastAsia"/>
                <w:sz w:val="16"/>
                <w:szCs w:val="16"/>
              </w:rPr>
              <w:t>未开展前期调研或可行性研究，对项目实施背景、现状、需求、风险缺乏了解，未进行项目可行性分析、论证</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项目立项决策程序的规范性</w:t>
            </w:r>
          </w:p>
        </w:tc>
        <w:tc>
          <w:tcPr>
            <w:tcW w:w="567"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1</w:t>
            </w: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合规</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0.9-1.0</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A.</w:t>
            </w:r>
            <w:r>
              <w:rPr>
                <w:rFonts w:hint="eastAsia"/>
                <w:sz w:val="16"/>
                <w:szCs w:val="16"/>
              </w:rPr>
              <w:t>完全履行了相关必要的申请、批复审批程序，且完全合规</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较合规</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0.7-0.9</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B.</w:t>
            </w:r>
            <w:r>
              <w:rPr>
                <w:rFonts w:hint="eastAsia"/>
                <w:sz w:val="16"/>
                <w:szCs w:val="16"/>
              </w:rPr>
              <w:t>履行了相关必要的申请、批复审批程序，且较合规</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基本合规</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0.6-0.7</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C.</w:t>
            </w:r>
            <w:r>
              <w:rPr>
                <w:rFonts w:hint="eastAsia"/>
                <w:sz w:val="16"/>
                <w:szCs w:val="16"/>
              </w:rPr>
              <w:t>履行了基本的申请、批复审批程序，且基本合规</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不合规</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0-0.6</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D.</w:t>
            </w:r>
            <w:r>
              <w:rPr>
                <w:rFonts w:hint="eastAsia"/>
                <w:sz w:val="16"/>
                <w:szCs w:val="16"/>
              </w:rPr>
              <w:t>未履行必要的申请、批复审批程序</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绩效目标（</w:t>
            </w:r>
            <w:r>
              <w:rPr>
                <w:rFonts w:hint="eastAsia"/>
                <w:sz w:val="16"/>
                <w:szCs w:val="16"/>
              </w:rPr>
              <w:t>5</w:t>
            </w:r>
            <w:r>
              <w:rPr>
                <w:rFonts w:hint="eastAsia"/>
                <w:sz w:val="16"/>
                <w:szCs w:val="16"/>
              </w:rPr>
              <w:t>分）</w:t>
            </w:r>
          </w:p>
        </w:tc>
        <w:tc>
          <w:tcPr>
            <w:tcW w:w="850"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目标内容（</w:t>
            </w:r>
            <w:r>
              <w:rPr>
                <w:rFonts w:hint="eastAsia"/>
                <w:sz w:val="16"/>
                <w:szCs w:val="16"/>
              </w:rPr>
              <w:t>5</w:t>
            </w:r>
            <w:r>
              <w:rPr>
                <w:rFonts w:hint="eastAsia"/>
                <w:sz w:val="16"/>
                <w:szCs w:val="16"/>
              </w:rPr>
              <w:t>分）</w:t>
            </w:r>
          </w:p>
        </w:tc>
        <w:tc>
          <w:tcPr>
            <w:tcW w:w="2410"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绩效目标合理性</w:t>
            </w:r>
          </w:p>
        </w:tc>
        <w:tc>
          <w:tcPr>
            <w:tcW w:w="567"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2</w:t>
            </w: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合理</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1.8-2.0</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A.</w:t>
            </w:r>
            <w:r>
              <w:rPr>
                <w:rFonts w:hint="eastAsia"/>
                <w:sz w:val="16"/>
                <w:szCs w:val="16"/>
              </w:rPr>
              <w:t>立项目标全面、客观、严谨</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较合理</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1.5-1.8</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B.</w:t>
            </w:r>
            <w:r>
              <w:rPr>
                <w:rFonts w:hint="eastAsia"/>
                <w:sz w:val="16"/>
                <w:szCs w:val="16"/>
              </w:rPr>
              <w:t>立项目标比较全面、客观、严谨</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基本合理</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1.2-1.5</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C.</w:t>
            </w:r>
            <w:r>
              <w:rPr>
                <w:rFonts w:hint="eastAsia"/>
                <w:sz w:val="16"/>
                <w:szCs w:val="16"/>
              </w:rPr>
              <w:t>立项目标基本全面、客观、严谨</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不合理</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0-1.2</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D.</w:t>
            </w:r>
            <w:r>
              <w:rPr>
                <w:rFonts w:hint="eastAsia"/>
                <w:sz w:val="16"/>
                <w:szCs w:val="16"/>
              </w:rPr>
              <w:t>立项目标不够全面、不客观、不严谨</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绩效指标明确性</w:t>
            </w:r>
          </w:p>
        </w:tc>
        <w:tc>
          <w:tcPr>
            <w:tcW w:w="567"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3</w:t>
            </w: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明确</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2.7-3.0</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A.</w:t>
            </w:r>
            <w:r>
              <w:rPr>
                <w:rFonts w:hint="eastAsia"/>
                <w:sz w:val="16"/>
                <w:szCs w:val="16"/>
              </w:rPr>
              <w:t>立项目标明确、细化、量化，可准确衡量和评价</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较明确</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2.25-2.7</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B.</w:t>
            </w:r>
            <w:r>
              <w:rPr>
                <w:rFonts w:hint="eastAsia"/>
                <w:sz w:val="16"/>
                <w:szCs w:val="16"/>
              </w:rPr>
              <w:t>立项目标较为明确、细化、量化，能够衡量和评价</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基本明确</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1.8-2.25</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C.</w:t>
            </w:r>
            <w:r>
              <w:rPr>
                <w:rFonts w:hint="eastAsia"/>
                <w:sz w:val="16"/>
                <w:szCs w:val="16"/>
              </w:rPr>
              <w:t>存在个别绩效指标不够具体细化、难以衡量和评价</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不明确</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0-1.8</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D.</w:t>
            </w:r>
            <w:r>
              <w:rPr>
                <w:rFonts w:hint="eastAsia"/>
                <w:sz w:val="16"/>
                <w:szCs w:val="16"/>
              </w:rPr>
              <w:t>目标不够清晰、不够具体、量化，无法衡量和评价</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资金投入（</w:t>
            </w:r>
            <w:r>
              <w:rPr>
                <w:rFonts w:hint="eastAsia"/>
                <w:sz w:val="16"/>
                <w:szCs w:val="16"/>
              </w:rPr>
              <w:t>5</w:t>
            </w:r>
            <w:r>
              <w:rPr>
                <w:rFonts w:hint="eastAsia"/>
                <w:sz w:val="16"/>
                <w:szCs w:val="16"/>
              </w:rPr>
              <w:t>分）</w:t>
            </w:r>
          </w:p>
        </w:tc>
        <w:tc>
          <w:tcPr>
            <w:tcW w:w="850"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预算编制、资金分配（</w:t>
            </w:r>
            <w:r>
              <w:rPr>
                <w:rFonts w:hint="eastAsia"/>
                <w:sz w:val="16"/>
                <w:szCs w:val="16"/>
              </w:rPr>
              <w:t>5</w:t>
            </w:r>
            <w:r>
              <w:rPr>
                <w:rFonts w:hint="eastAsia"/>
                <w:sz w:val="16"/>
                <w:szCs w:val="16"/>
              </w:rPr>
              <w:t>分）</w:t>
            </w:r>
          </w:p>
        </w:tc>
        <w:tc>
          <w:tcPr>
            <w:tcW w:w="2410"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预算编制科学性</w:t>
            </w:r>
          </w:p>
        </w:tc>
        <w:tc>
          <w:tcPr>
            <w:tcW w:w="567"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2</w:t>
            </w: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高</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1.8-2.0</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A.</w:t>
            </w:r>
            <w:r>
              <w:rPr>
                <w:rFonts w:hint="eastAsia"/>
                <w:sz w:val="16"/>
                <w:szCs w:val="16"/>
              </w:rPr>
              <w:t>项目预算与业务内容完全匹配，预算标准适当，计算方法科学，项目预算细化</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较高</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1.5-1.8</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B.</w:t>
            </w:r>
            <w:r>
              <w:rPr>
                <w:rFonts w:hint="eastAsia"/>
                <w:sz w:val="16"/>
                <w:szCs w:val="16"/>
              </w:rPr>
              <w:t>项目预算与业务内容比较匹配，预算标准较适当和计算方法较科学，项目预算较细化</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一般</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1.2-1.5</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C.</w:t>
            </w:r>
            <w:r>
              <w:rPr>
                <w:rFonts w:hint="eastAsia"/>
                <w:sz w:val="16"/>
                <w:szCs w:val="16"/>
              </w:rPr>
              <w:t>项目预算与业务内容基本匹配，预算标准基本适当和计算方法基本正确，项目预算细化不充分</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低</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0-1.2</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D.</w:t>
            </w:r>
            <w:r>
              <w:rPr>
                <w:rFonts w:hint="eastAsia"/>
                <w:sz w:val="16"/>
                <w:szCs w:val="16"/>
              </w:rPr>
              <w:t>项目预算与业务内容不匹配，缺少预算标准和明确的计算方法，项目预算不细化</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资金分配合理性</w:t>
            </w:r>
          </w:p>
        </w:tc>
        <w:tc>
          <w:tcPr>
            <w:tcW w:w="567"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3</w:t>
            </w: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合理</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2.7-3.0</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A.</w:t>
            </w:r>
            <w:r>
              <w:rPr>
                <w:rFonts w:hint="eastAsia"/>
                <w:sz w:val="16"/>
                <w:szCs w:val="16"/>
              </w:rPr>
              <w:t>预算资金分配依据充分，资金分配额度合理，与项目单位实际相适应</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较合理</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2.25-2.7</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B.</w:t>
            </w:r>
            <w:r>
              <w:rPr>
                <w:rFonts w:hint="eastAsia"/>
                <w:sz w:val="16"/>
                <w:szCs w:val="16"/>
              </w:rPr>
              <w:t>预算资金分配依据较充分，资金分配额度较合理，与项目单位实际比较适应</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基本合理</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1.8-2.25</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C.</w:t>
            </w:r>
            <w:r>
              <w:rPr>
                <w:rFonts w:hint="eastAsia"/>
                <w:sz w:val="16"/>
                <w:szCs w:val="16"/>
              </w:rPr>
              <w:t>预算资金分配依据基本充分，资金分配额度基本合理，与项目单位实际基本相适应</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不合理</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0-1.8</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D.</w:t>
            </w:r>
            <w:r>
              <w:rPr>
                <w:rFonts w:hint="eastAsia"/>
                <w:sz w:val="16"/>
                <w:szCs w:val="16"/>
              </w:rPr>
              <w:t>预算资金分配依据不充分，资金分配额度不合理，与项目单位实际不适应</w:t>
            </w:r>
          </w:p>
        </w:tc>
      </w:tr>
      <w:tr w:rsidR="00000067" w:rsidTr="00000067">
        <w:trPr>
          <w:trHeight w:hRule="exact" w:val="340"/>
        </w:trPr>
        <w:tc>
          <w:tcPr>
            <w:tcW w:w="724"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项目管理过程（</w:t>
            </w:r>
            <w:r>
              <w:rPr>
                <w:rFonts w:hint="eastAsia"/>
                <w:sz w:val="16"/>
                <w:szCs w:val="16"/>
              </w:rPr>
              <w:t>25</w:t>
            </w:r>
            <w:r>
              <w:rPr>
                <w:rFonts w:hint="eastAsia"/>
                <w:sz w:val="16"/>
                <w:szCs w:val="16"/>
              </w:rPr>
              <w:t>分）</w:t>
            </w:r>
          </w:p>
        </w:tc>
        <w:tc>
          <w:tcPr>
            <w:tcW w:w="851"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项目资金（</w:t>
            </w:r>
            <w:r>
              <w:rPr>
                <w:rFonts w:hint="eastAsia"/>
                <w:sz w:val="16"/>
                <w:szCs w:val="16"/>
              </w:rPr>
              <w:t>10</w:t>
            </w:r>
            <w:r>
              <w:rPr>
                <w:rFonts w:hint="eastAsia"/>
                <w:sz w:val="16"/>
                <w:szCs w:val="16"/>
              </w:rPr>
              <w:t>分）</w:t>
            </w:r>
          </w:p>
        </w:tc>
        <w:tc>
          <w:tcPr>
            <w:tcW w:w="850"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资金管理（</w:t>
            </w:r>
            <w:r>
              <w:rPr>
                <w:rFonts w:hint="eastAsia"/>
                <w:sz w:val="16"/>
                <w:szCs w:val="16"/>
              </w:rPr>
              <w:t>10</w:t>
            </w:r>
            <w:r>
              <w:rPr>
                <w:rFonts w:hint="eastAsia"/>
                <w:sz w:val="16"/>
                <w:szCs w:val="16"/>
              </w:rPr>
              <w:t>分）</w:t>
            </w:r>
          </w:p>
        </w:tc>
        <w:tc>
          <w:tcPr>
            <w:tcW w:w="2410"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资金到位率</w:t>
            </w:r>
          </w:p>
        </w:tc>
        <w:tc>
          <w:tcPr>
            <w:tcW w:w="567"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2</w:t>
            </w: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到位</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1.8-2.0</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A.</w:t>
            </w:r>
            <w:r>
              <w:rPr>
                <w:rFonts w:hint="eastAsia"/>
                <w:sz w:val="16"/>
                <w:szCs w:val="16"/>
              </w:rPr>
              <w:t>资金到位率</w:t>
            </w:r>
            <w:r>
              <w:rPr>
                <w:rFonts w:hint="eastAsia"/>
                <w:sz w:val="16"/>
                <w:szCs w:val="16"/>
              </w:rPr>
              <w:t>90%</w:t>
            </w:r>
            <w:r>
              <w:rPr>
                <w:rFonts w:hint="eastAsia"/>
                <w:sz w:val="16"/>
                <w:szCs w:val="16"/>
              </w:rPr>
              <w:t>以上</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较到位</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1.5-1.8</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B.</w:t>
            </w:r>
            <w:r>
              <w:rPr>
                <w:rFonts w:hint="eastAsia"/>
                <w:sz w:val="16"/>
                <w:szCs w:val="16"/>
              </w:rPr>
              <w:t>资金到位率</w:t>
            </w:r>
            <w:r>
              <w:rPr>
                <w:rFonts w:hint="eastAsia"/>
                <w:sz w:val="16"/>
                <w:szCs w:val="16"/>
              </w:rPr>
              <w:t>80%-90%</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基本到位</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1.2-1.5</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C.</w:t>
            </w:r>
            <w:r>
              <w:rPr>
                <w:rFonts w:hint="eastAsia"/>
                <w:sz w:val="16"/>
                <w:szCs w:val="16"/>
              </w:rPr>
              <w:t>资金到位率</w:t>
            </w:r>
            <w:r>
              <w:rPr>
                <w:rFonts w:hint="eastAsia"/>
                <w:sz w:val="16"/>
                <w:szCs w:val="16"/>
              </w:rPr>
              <w:t>60%-80%</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不到位</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0-1.2</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D.</w:t>
            </w:r>
            <w:r>
              <w:rPr>
                <w:rFonts w:hint="eastAsia"/>
                <w:sz w:val="16"/>
                <w:szCs w:val="16"/>
              </w:rPr>
              <w:t>资金到位率</w:t>
            </w:r>
            <w:r>
              <w:rPr>
                <w:rFonts w:hint="eastAsia"/>
                <w:sz w:val="16"/>
                <w:szCs w:val="16"/>
              </w:rPr>
              <w:t>60%</w:t>
            </w:r>
            <w:r>
              <w:rPr>
                <w:rFonts w:hint="eastAsia"/>
                <w:sz w:val="16"/>
                <w:szCs w:val="16"/>
              </w:rPr>
              <w:t>以下</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预算执行率</w:t>
            </w:r>
          </w:p>
        </w:tc>
        <w:tc>
          <w:tcPr>
            <w:tcW w:w="567"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4</w:t>
            </w: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一致</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3.5-4.0</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A.</w:t>
            </w:r>
            <w:r>
              <w:rPr>
                <w:rFonts w:hint="eastAsia"/>
                <w:sz w:val="16"/>
                <w:szCs w:val="16"/>
              </w:rPr>
              <w:t>预算执行与预算规划及批复相符，符合相关项目资金管理制度规定，支出进度与预期一致</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较一致</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2.95-3.5</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B.</w:t>
            </w:r>
            <w:r>
              <w:rPr>
                <w:rFonts w:hint="eastAsia"/>
                <w:sz w:val="16"/>
                <w:szCs w:val="16"/>
              </w:rPr>
              <w:t>预算执行与预算规划及批复较相符，支出进度较为合理，不存在虚列支出、支出依据不充分等情况</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基本一致</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2.4-2.95</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C.</w:t>
            </w:r>
            <w:r>
              <w:rPr>
                <w:rFonts w:hint="eastAsia"/>
                <w:sz w:val="16"/>
                <w:szCs w:val="16"/>
              </w:rPr>
              <w:t>预算执行与预算规划及批复基本相符，支出进度基本合理，存在个别虚列支出、支出依据不充分情况</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不一致</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0-2.4</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D.</w:t>
            </w:r>
            <w:r>
              <w:rPr>
                <w:rFonts w:hint="eastAsia"/>
                <w:sz w:val="16"/>
                <w:szCs w:val="16"/>
              </w:rPr>
              <w:t>预算执行与预算规划及批复不符，支出进度不合理，存在虚列支出、支出依据不充分等情况</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资金使用合理性</w:t>
            </w:r>
          </w:p>
        </w:tc>
        <w:tc>
          <w:tcPr>
            <w:tcW w:w="567"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4</w:t>
            </w: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合理</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3.5-4.0</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A.</w:t>
            </w:r>
            <w:r>
              <w:rPr>
                <w:rFonts w:hint="eastAsia"/>
                <w:sz w:val="16"/>
                <w:szCs w:val="16"/>
              </w:rPr>
              <w:t>严格执行有关财务管理制度，财务运行协调；资产管理制度执行很好，项目资金使用高效</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较合理</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2.95-3.5</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B.</w:t>
            </w:r>
            <w:r>
              <w:rPr>
                <w:rFonts w:hint="eastAsia"/>
                <w:sz w:val="16"/>
                <w:szCs w:val="16"/>
              </w:rPr>
              <w:t>较好地执行有关财务管理制度，财务运行较协调；资产管理制度执行较好，项目资金使用较高效</w:t>
            </w:r>
          </w:p>
        </w:tc>
      </w:tr>
      <w:tr w:rsidR="00000067" w:rsidTr="00000067">
        <w:trPr>
          <w:trHeight w:hRule="exact" w:val="371"/>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基本合理</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2.4-2.95</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C.</w:t>
            </w:r>
            <w:r>
              <w:rPr>
                <w:rFonts w:hint="eastAsia"/>
                <w:sz w:val="16"/>
                <w:szCs w:val="16"/>
              </w:rPr>
              <w:t>基本上执行了有关财务</w:t>
            </w:r>
            <w:r>
              <w:rPr>
                <w:rFonts w:hint="eastAsia"/>
                <w:sz w:val="16"/>
                <w:szCs w:val="16"/>
              </w:rPr>
              <w:t>(</w:t>
            </w:r>
            <w:r>
              <w:rPr>
                <w:rFonts w:hint="eastAsia"/>
                <w:sz w:val="16"/>
                <w:szCs w:val="16"/>
              </w:rPr>
              <w:t>资产</w:t>
            </w:r>
            <w:r>
              <w:rPr>
                <w:rFonts w:hint="eastAsia"/>
                <w:sz w:val="16"/>
                <w:szCs w:val="16"/>
              </w:rPr>
              <w:t>)</w:t>
            </w:r>
            <w:r>
              <w:rPr>
                <w:rFonts w:hint="eastAsia"/>
                <w:sz w:val="16"/>
                <w:szCs w:val="16"/>
              </w:rPr>
              <w:t>管理制度，存在个别未执行情况，项目资金使用效率一般</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不合理</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0-2.4</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D.</w:t>
            </w:r>
            <w:r>
              <w:rPr>
                <w:rFonts w:hint="eastAsia"/>
                <w:sz w:val="16"/>
                <w:szCs w:val="16"/>
              </w:rPr>
              <w:t>未执行有关财务</w:t>
            </w:r>
            <w:r>
              <w:rPr>
                <w:rFonts w:hint="eastAsia"/>
                <w:sz w:val="16"/>
                <w:szCs w:val="16"/>
              </w:rPr>
              <w:t>(</w:t>
            </w:r>
            <w:r>
              <w:rPr>
                <w:rFonts w:hint="eastAsia"/>
                <w:sz w:val="16"/>
                <w:szCs w:val="16"/>
              </w:rPr>
              <w:t>资产</w:t>
            </w:r>
            <w:r>
              <w:rPr>
                <w:rFonts w:hint="eastAsia"/>
                <w:sz w:val="16"/>
                <w:szCs w:val="16"/>
              </w:rPr>
              <w:t>)</w:t>
            </w:r>
            <w:r>
              <w:rPr>
                <w:rFonts w:hint="eastAsia"/>
                <w:sz w:val="16"/>
                <w:szCs w:val="16"/>
              </w:rPr>
              <w:t>管理制度，财务运行不协调</w:t>
            </w:r>
            <w:r>
              <w:rPr>
                <w:rFonts w:hint="eastAsia"/>
                <w:sz w:val="16"/>
                <w:szCs w:val="16"/>
              </w:rPr>
              <w:t>,</w:t>
            </w:r>
            <w:r>
              <w:rPr>
                <w:rFonts w:hint="eastAsia"/>
                <w:sz w:val="16"/>
                <w:szCs w:val="16"/>
              </w:rPr>
              <w:t>项目资金使用低效</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项组织实施（</w:t>
            </w:r>
            <w:r>
              <w:rPr>
                <w:rFonts w:hint="eastAsia"/>
                <w:sz w:val="16"/>
                <w:szCs w:val="16"/>
              </w:rPr>
              <w:t>15</w:t>
            </w:r>
            <w:r>
              <w:rPr>
                <w:rFonts w:hint="eastAsia"/>
                <w:sz w:val="16"/>
                <w:szCs w:val="16"/>
              </w:rPr>
              <w:t>分）</w:t>
            </w:r>
          </w:p>
        </w:tc>
        <w:tc>
          <w:tcPr>
            <w:tcW w:w="850"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管理制度健全性（</w:t>
            </w:r>
            <w:r>
              <w:rPr>
                <w:rFonts w:hint="eastAsia"/>
                <w:sz w:val="16"/>
                <w:szCs w:val="16"/>
              </w:rPr>
              <w:t>3</w:t>
            </w:r>
            <w:r>
              <w:rPr>
                <w:rFonts w:hint="eastAsia"/>
                <w:sz w:val="16"/>
                <w:szCs w:val="16"/>
              </w:rPr>
              <w:t>）</w:t>
            </w:r>
          </w:p>
        </w:tc>
        <w:tc>
          <w:tcPr>
            <w:tcW w:w="2410"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财务管理制度的健全性</w:t>
            </w:r>
          </w:p>
        </w:tc>
        <w:tc>
          <w:tcPr>
            <w:tcW w:w="567"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1</w:t>
            </w: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完备</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0.9-1.0</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A.</w:t>
            </w:r>
            <w:r>
              <w:rPr>
                <w:rFonts w:hint="eastAsia"/>
                <w:sz w:val="16"/>
                <w:szCs w:val="16"/>
              </w:rPr>
              <w:t>项目单位建立起十分健全、有很强针对性的项目财务、业务管理制度，足以保证项目的顺利实施</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较完备</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0.7-0.9</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B.</w:t>
            </w:r>
            <w:r>
              <w:rPr>
                <w:rFonts w:hint="eastAsia"/>
                <w:sz w:val="16"/>
                <w:szCs w:val="16"/>
              </w:rPr>
              <w:t>项目单位建立健全了项目财务、业务管理制度，有一定的针对性，能较好地保证项目的顺利实施</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基本完备</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0.6-0.7</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C.</w:t>
            </w:r>
            <w:r>
              <w:rPr>
                <w:rFonts w:hint="eastAsia"/>
                <w:sz w:val="16"/>
                <w:szCs w:val="16"/>
              </w:rPr>
              <w:t>项目单位基本上建立了项目财务、业务管理制度，一定程度上有助于项目的开展</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不完备</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0-0.6</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D.</w:t>
            </w:r>
            <w:r>
              <w:rPr>
                <w:rFonts w:hint="eastAsia"/>
                <w:sz w:val="16"/>
                <w:szCs w:val="16"/>
              </w:rPr>
              <w:t>项目单位未建立项目财务、业务管理制度或项目管理制度缺乏针对性，无法保证项目的顺利实施</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业务管理制度的健全性</w:t>
            </w:r>
          </w:p>
        </w:tc>
        <w:tc>
          <w:tcPr>
            <w:tcW w:w="567"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2</w:t>
            </w: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完备</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1.8-2.0</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A.</w:t>
            </w:r>
            <w:r>
              <w:rPr>
                <w:rFonts w:hint="eastAsia"/>
                <w:sz w:val="16"/>
                <w:szCs w:val="16"/>
              </w:rPr>
              <w:t>项目单位建立起十分健全、有很强针对性的业务管理制度，足以保证项目的顺利实施</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较完备</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1.5-1.8</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B.</w:t>
            </w:r>
            <w:r>
              <w:rPr>
                <w:rFonts w:hint="eastAsia"/>
                <w:sz w:val="16"/>
                <w:szCs w:val="16"/>
              </w:rPr>
              <w:t>项目单位建立健全了业务管理制度，有一定的针对性，能较好地保证项目的顺利实施</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基本完备</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1.2-1.5</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C.</w:t>
            </w:r>
            <w:r>
              <w:rPr>
                <w:rFonts w:hint="eastAsia"/>
                <w:sz w:val="16"/>
                <w:szCs w:val="16"/>
              </w:rPr>
              <w:t>项目单位基本上建立了业务管理制度，一定程度上有助于项目的开展</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不完备</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0-1.2</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D.</w:t>
            </w:r>
            <w:r>
              <w:rPr>
                <w:rFonts w:hint="eastAsia"/>
                <w:sz w:val="16"/>
                <w:szCs w:val="16"/>
              </w:rPr>
              <w:t>项目单位未建立业务管理制度或项目管理制度缺乏针对性，无法保证项目的顺利实施</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制度执行有效性（</w:t>
            </w:r>
            <w:r>
              <w:rPr>
                <w:rFonts w:hint="eastAsia"/>
                <w:sz w:val="16"/>
                <w:szCs w:val="16"/>
              </w:rPr>
              <w:t>12</w:t>
            </w:r>
            <w:r>
              <w:rPr>
                <w:rFonts w:hint="eastAsia"/>
                <w:sz w:val="16"/>
                <w:szCs w:val="16"/>
              </w:rPr>
              <w:t>分）</w:t>
            </w:r>
          </w:p>
        </w:tc>
        <w:tc>
          <w:tcPr>
            <w:tcW w:w="2410"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项目执行与实施方案、计划的吻合度</w:t>
            </w:r>
          </w:p>
        </w:tc>
        <w:tc>
          <w:tcPr>
            <w:tcW w:w="567"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4</w:t>
            </w: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吻合</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3.5-4.0</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A.</w:t>
            </w:r>
            <w:r>
              <w:rPr>
                <w:rFonts w:hint="eastAsia"/>
                <w:sz w:val="16"/>
                <w:szCs w:val="16"/>
              </w:rPr>
              <w:t>项目实施方案完备，可行性强</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较吻合</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2.95-3.5</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B.</w:t>
            </w:r>
            <w:r>
              <w:rPr>
                <w:rFonts w:hint="eastAsia"/>
                <w:sz w:val="16"/>
                <w:szCs w:val="16"/>
              </w:rPr>
              <w:t>项目实施方案较完备，可行性较强</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基本吻合</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2.4-2.95</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C.</w:t>
            </w:r>
            <w:r>
              <w:rPr>
                <w:rFonts w:hint="eastAsia"/>
                <w:sz w:val="16"/>
                <w:szCs w:val="16"/>
              </w:rPr>
              <w:t>项目实施方案基本完备，有一定的可行性</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不吻合</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0-2.4</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D.</w:t>
            </w:r>
            <w:r>
              <w:rPr>
                <w:rFonts w:hint="eastAsia"/>
                <w:sz w:val="16"/>
                <w:szCs w:val="16"/>
              </w:rPr>
              <w:t>项目无实施方案或实施方案不完备，缺乏可行性</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项目调整的规范性</w:t>
            </w:r>
          </w:p>
        </w:tc>
        <w:tc>
          <w:tcPr>
            <w:tcW w:w="567"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2</w:t>
            </w: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非常规范</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1.8-2.0</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A.</w:t>
            </w:r>
            <w:r>
              <w:rPr>
                <w:rFonts w:hint="eastAsia"/>
                <w:sz w:val="16"/>
                <w:szCs w:val="16"/>
              </w:rPr>
              <w:t>目标及预算等不存在重大调整情况，或者存在重大调整情况时履行了相应手续</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规范</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1.5-1.8</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B.</w:t>
            </w:r>
            <w:r>
              <w:rPr>
                <w:rFonts w:hint="eastAsia"/>
                <w:sz w:val="16"/>
                <w:szCs w:val="16"/>
              </w:rPr>
              <w:t>目标及预算等存在重大调整情况，个别重大调整情况履行手续欠规范</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一般</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1.2-1.5</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C.</w:t>
            </w:r>
            <w:r>
              <w:rPr>
                <w:rFonts w:hint="eastAsia"/>
                <w:sz w:val="16"/>
                <w:szCs w:val="16"/>
              </w:rPr>
              <w:t>目标及预算等存在重大调整情况，重大调整未履行相应手续</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不规范</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0-1.2</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D.</w:t>
            </w:r>
            <w:r>
              <w:rPr>
                <w:rFonts w:hint="eastAsia"/>
                <w:sz w:val="16"/>
                <w:szCs w:val="16"/>
              </w:rPr>
              <w:t>目标及预算等存在重大调整情况，且完全未履行相应手续</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项目执行的有效性</w:t>
            </w:r>
          </w:p>
        </w:tc>
        <w:tc>
          <w:tcPr>
            <w:tcW w:w="567"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4</w:t>
            </w: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有效</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3.5-4.0</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A.</w:t>
            </w:r>
            <w:r>
              <w:rPr>
                <w:rFonts w:hint="eastAsia"/>
                <w:sz w:val="16"/>
                <w:szCs w:val="16"/>
              </w:rPr>
              <w:t>项目实施遵守相关法律法规和项目管理制度，执行有效</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较有效</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2.95-3.5</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B.</w:t>
            </w:r>
            <w:r>
              <w:rPr>
                <w:rFonts w:hint="eastAsia"/>
                <w:sz w:val="16"/>
                <w:szCs w:val="16"/>
              </w:rPr>
              <w:t>项目实施较好的遵守了相关法律法规和项目管理制度，执行较有效</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一般</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2.4-2.95</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C.</w:t>
            </w:r>
            <w:r>
              <w:rPr>
                <w:rFonts w:hint="eastAsia"/>
                <w:sz w:val="16"/>
                <w:szCs w:val="16"/>
              </w:rPr>
              <w:t>项目实施基本上遵守了相关法律法规和项目管理制度，执行基本有效</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无效</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0-2.4</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D.</w:t>
            </w:r>
            <w:r>
              <w:rPr>
                <w:rFonts w:hint="eastAsia"/>
                <w:sz w:val="16"/>
                <w:szCs w:val="16"/>
              </w:rPr>
              <w:t>项目实施未遵守相关法律法规和项目管理制度，执行无效</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项目执行资料完整性、归档及时性</w:t>
            </w:r>
          </w:p>
        </w:tc>
        <w:tc>
          <w:tcPr>
            <w:tcW w:w="567"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2</w:t>
            </w: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完整、及时</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1.8-2.0</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A.</w:t>
            </w:r>
            <w:r>
              <w:rPr>
                <w:rFonts w:hint="eastAsia"/>
                <w:sz w:val="16"/>
                <w:szCs w:val="16"/>
              </w:rPr>
              <w:t>项目合同书、验收报告、技术鉴定等资料齐全、归档及时</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较完整、较及时</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1.5-1.8</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B.</w:t>
            </w:r>
            <w:r>
              <w:rPr>
                <w:rFonts w:hint="eastAsia"/>
                <w:sz w:val="16"/>
                <w:szCs w:val="16"/>
              </w:rPr>
              <w:t>项目合同书、验收报告、技术鉴定等资料较齐全、归档较及时</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一般</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1.2-1.5</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C.</w:t>
            </w:r>
            <w:r>
              <w:rPr>
                <w:rFonts w:hint="eastAsia"/>
                <w:sz w:val="16"/>
                <w:szCs w:val="16"/>
              </w:rPr>
              <w:t>项目合同书、验收报告、技术鉴定等资料基本齐全、归档但不及时</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不完整、不及时</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0-1.2</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D.</w:t>
            </w:r>
            <w:r>
              <w:rPr>
                <w:rFonts w:hint="eastAsia"/>
                <w:sz w:val="16"/>
                <w:szCs w:val="16"/>
              </w:rPr>
              <w:t>项目合同书、验收报告、技术鉴定等资料不齐全、未归档</w:t>
            </w:r>
          </w:p>
        </w:tc>
      </w:tr>
      <w:tr w:rsidR="00000067" w:rsidTr="00000067">
        <w:trPr>
          <w:trHeight w:hRule="exact" w:val="340"/>
        </w:trPr>
        <w:tc>
          <w:tcPr>
            <w:tcW w:w="724"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项目产出（</w:t>
            </w:r>
            <w:r>
              <w:rPr>
                <w:rFonts w:hint="eastAsia"/>
                <w:sz w:val="16"/>
                <w:szCs w:val="16"/>
              </w:rPr>
              <w:t>30</w:t>
            </w:r>
            <w:r>
              <w:rPr>
                <w:rFonts w:hint="eastAsia"/>
                <w:sz w:val="16"/>
                <w:szCs w:val="16"/>
              </w:rPr>
              <w:t>分）</w:t>
            </w:r>
          </w:p>
        </w:tc>
        <w:tc>
          <w:tcPr>
            <w:tcW w:w="851"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产出内容（</w:t>
            </w:r>
            <w:r>
              <w:rPr>
                <w:rFonts w:hint="eastAsia"/>
                <w:sz w:val="16"/>
                <w:szCs w:val="16"/>
              </w:rPr>
              <w:t>30</w:t>
            </w:r>
            <w:r>
              <w:rPr>
                <w:rFonts w:hint="eastAsia"/>
                <w:sz w:val="16"/>
                <w:szCs w:val="16"/>
              </w:rPr>
              <w:t>分）</w:t>
            </w:r>
          </w:p>
        </w:tc>
        <w:tc>
          <w:tcPr>
            <w:tcW w:w="850"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产出数量（</w:t>
            </w:r>
            <w:r>
              <w:rPr>
                <w:rFonts w:hint="eastAsia"/>
                <w:sz w:val="16"/>
                <w:szCs w:val="16"/>
              </w:rPr>
              <w:t>10</w:t>
            </w:r>
            <w:r>
              <w:rPr>
                <w:rFonts w:hint="eastAsia"/>
                <w:sz w:val="16"/>
                <w:szCs w:val="16"/>
              </w:rPr>
              <w:t>分）</w:t>
            </w:r>
          </w:p>
        </w:tc>
        <w:tc>
          <w:tcPr>
            <w:tcW w:w="2410"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设备购置完成率（年初数量指标购置仪器设备（</w:t>
            </w:r>
            <w:r>
              <w:rPr>
                <w:rFonts w:hint="eastAsia"/>
                <w:sz w:val="16"/>
                <w:szCs w:val="16"/>
              </w:rPr>
              <w:t>626</w:t>
            </w:r>
            <w:r>
              <w:rPr>
                <w:rFonts w:hint="eastAsia"/>
                <w:sz w:val="16"/>
                <w:szCs w:val="16"/>
              </w:rPr>
              <w:t>台）</w:t>
            </w:r>
          </w:p>
        </w:tc>
        <w:tc>
          <w:tcPr>
            <w:tcW w:w="567"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10</w:t>
            </w: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高</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9.0-10.0</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A.</w:t>
            </w:r>
            <w:r>
              <w:rPr>
                <w:rFonts w:hint="eastAsia"/>
                <w:sz w:val="16"/>
                <w:szCs w:val="16"/>
              </w:rPr>
              <w:t>实际产出数与计划产出数比率</w:t>
            </w:r>
            <w:r>
              <w:rPr>
                <w:rFonts w:hint="eastAsia"/>
                <w:sz w:val="16"/>
                <w:szCs w:val="16"/>
              </w:rPr>
              <w:t>90%-100%</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较高</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7.5-9.0</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B.</w:t>
            </w:r>
            <w:r>
              <w:rPr>
                <w:rFonts w:hint="eastAsia"/>
                <w:sz w:val="16"/>
                <w:szCs w:val="16"/>
              </w:rPr>
              <w:t>实际产出数与计划产出数比率</w:t>
            </w:r>
            <w:r>
              <w:rPr>
                <w:rFonts w:hint="eastAsia"/>
                <w:sz w:val="16"/>
                <w:szCs w:val="16"/>
              </w:rPr>
              <w:t>80%-90%</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一般</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6.0-7.5</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C.</w:t>
            </w:r>
            <w:r>
              <w:rPr>
                <w:rFonts w:hint="eastAsia"/>
                <w:sz w:val="16"/>
                <w:szCs w:val="16"/>
              </w:rPr>
              <w:t>实际产出数与计划产出数比率</w:t>
            </w:r>
            <w:r>
              <w:rPr>
                <w:rFonts w:hint="eastAsia"/>
                <w:sz w:val="16"/>
                <w:szCs w:val="16"/>
              </w:rPr>
              <w:t>60%-80%</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不高</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0-6.0</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D.</w:t>
            </w:r>
            <w:r>
              <w:rPr>
                <w:rFonts w:hint="eastAsia"/>
                <w:sz w:val="16"/>
                <w:szCs w:val="16"/>
              </w:rPr>
              <w:t>实际产出数与计划产出数比率</w:t>
            </w:r>
            <w:r>
              <w:rPr>
                <w:rFonts w:hint="eastAsia"/>
                <w:sz w:val="16"/>
                <w:szCs w:val="16"/>
              </w:rPr>
              <w:t>60%</w:t>
            </w:r>
            <w:r>
              <w:rPr>
                <w:rFonts w:hint="eastAsia"/>
                <w:sz w:val="16"/>
                <w:szCs w:val="16"/>
              </w:rPr>
              <w:t>以下</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产出质量（</w:t>
            </w:r>
            <w:r>
              <w:rPr>
                <w:rFonts w:hint="eastAsia"/>
                <w:sz w:val="16"/>
                <w:szCs w:val="16"/>
              </w:rPr>
              <w:t>10</w:t>
            </w:r>
            <w:r>
              <w:rPr>
                <w:rFonts w:hint="eastAsia"/>
                <w:sz w:val="16"/>
                <w:szCs w:val="16"/>
              </w:rPr>
              <w:t>分）</w:t>
            </w:r>
          </w:p>
        </w:tc>
        <w:tc>
          <w:tcPr>
            <w:tcW w:w="2410"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质量达标率（验收合格率大于等于</w:t>
            </w:r>
            <w:r>
              <w:rPr>
                <w:rFonts w:hint="eastAsia"/>
                <w:sz w:val="16"/>
                <w:szCs w:val="16"/>
              </w:rPr>
              <w:t>95%</w:t>
            </w:r>
            <w:r>
              <w:rPr>
                <w:rFonts w:hint="eastAsia"/>
                <w:sz w:val="16"/>
                <w:szCs w:val="16"/>
              </w:rPr>
              <w:t>）</w:t>
            </w:r>
          </w:p>
        </w:tc>
        <w:tc>
          <w:tcPr>
            <w:tcW w:w="567"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10</w:t>
            </w: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高</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9.0-10.0</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A.</w:t>
            </w:r>
            <w:r>
              <w:rPr>
                <w:rFonts w:hint="eastAsia"/>
                <w:sz w:val="16"/>
                <w:szCs w:val="16"/>
              </w:rPr>
              <w:t>质量达标率</w:t>
            </w:r>
            <w:r>
              <w:rPr>
                <w:rFonts w:hint="eastAsia"/>
                <w:sz w:val="16"/>
                <w:szCs w:val="16"/>
              </w:rPr>
              <w:t>90%-100%</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较高</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7.5-9.0</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B.</w:t>
            </w:r>
            <w:r>
              <w:rPr>
                <w:rFonts w:hint="eastAsia"/>
                <w:sz w:val="16"/>
                <w:szCs w:val="16"/>
              </w:rPr>
              <w:t>质量达标率</w:t>
            </w:r>
            <w:r>
              <w:rPr>
                <w:rFonts w:hint="eastAsia"/>
                <w:sz w:val="16"/>
                <w:szCs w:val="16"/>
              </w:rPr>
              <w:t>80%-90%</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一般</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6.0-7.5</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C.</w:t>
            </w:r>
            <w:r>
              <w:rPr>
                <w:rFonts w:hint="eastAsia"/>
                <w:sz w:val="16"/>
                <w:szCs w:val="16"/>
              </w:rPr>
              <w:t>质量达标率</w:t>
            </w:r>
            <w:r>
              <w:rPr>
                <w:rFonts w:hint="eastAsia"/>
                <w:sz w:val="16"/>
                <w:szCs w:val="16"/>
              </w:rPr>
              <w:t>60%-80%</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不高</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0-6.0</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D.</w:t>
            </w:r>
            <w:r>
              <w:rPr>
                <w:rFonts w:hint="eastAsia"/>
                <w:sz w:val="16"/>
                <w:szCs w:val="16"/>
              </w:rPr>
              <w:t>质量达标率</w:t>
            </w:r>
            <w:r>
              <w:rPr>
                <w:rFonts w:hint="eastAsia"/>
                <w:sz w:val="16"/>
                <w:szCs w:val="16"/>
              </w:rPr>
              <w:t>60%</w:t>
            </w:r>
            <w:r>
              <w:rPr>
                <w:rFonts w:hint="eastAsia"/>
                <w:sz w:val="16"/>
                <w:szCs w:val="16"/>
              </w:rPr>
              <w:t>以下</w:t>
            </w:r>
          </w:p>
        </w:tc>
      </w:tr>
      <w:tr w:rsidR="00000067" w:rsidTr="00000067">
        <w:trPr>
          <w:trHeight w:hRule="exact" w:val="567"/>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产出时效（</w:t>
            </w:r>
            <w:r>
              <w:rPr>
                <w:rFonts w:hint="eastAsia"/>
                <w:sz w:val="16"/>
                <w:szCs w:val="16"/>
              </w:rPr>
              <w:t>5</w:t>
            </w:r>
            <w:r>
              <w:rPr>
                <w:rFonts w:hint="eastAsia"/>
                <w:sz w:val="16"/>
                <w:szCs w:val="16"/>
              </w:rPr>
              <w:t>分）</w:t>
            </w:r>
          </w:p>
        </w:tc>
        <w:tc>
          <w:tcPr>
            <w:tcW w:w="2410" w:type="dxa"/>
            <w:vMerge w:val="restart"/>
            <w:shd w:val="clear" w:color="auto" w:fill="auto"/>
            <w:vAlign w:val="center"/>
            <w:hideMark/>
          </w:tcPr>
          <w:p w:rsidR="00000067" w:rsidRDefault="00000067">
            <w:pPr>
              <w:rPr>
                <w:rFonts w:ascii="宋体" w:hAnsi="宋体" w:cs="宋体"/>
                <w:sz w:val="16"/>
                <w:szCs w:val="16"/>
              </w:rPr>
            </w:pPr>
            <w:r>
              <w:rPr>
                <w:rFonts w:hint="eastAsia"/>
                <w:sz w:val="16"/>
                <w:szCs w:val="16"/>
              </w:rPr>
              <w:t>完成的及时性（</w:t>
            </w:r>
            <w:r>
              <w:rPr>
                <w:rFonts w:hint="eastAsia"/>
                <w:sz w:val="16"/>
                <w:szCs w:val="16"/>
              </w:rPr>
              <w:t>2020</w:t>
            </w:r>
            <w:r>
              <w:rPr>
                <w:rFonts w:hint="eastAsia"/>
                <w:sz w:val="16"/>
                <w:szCs w:val="16"/>
              </w:rPr>
              <w:t>年</w:t>
            </w:r>
            <w:r>
              <w:rPr>
                <w:rFonts w:hint="eastAsia"/>
                <w:sz w:val="16"/>
                <w:szCs w:val="16"/>
              </w:rPr>
              <w:t>10</w:t>
            </w:r>
            <w:r>
              <w:rPr>
                <w:rFonts w:hint="eastAsia"/>
                <w:sz w:val="16"/>
                <w:szCs w:val="16"/>
              </w:rPr>
              <w:t>月</w:t>
            </w:r>
            <w:r>
              <w:rPr>
                <w:rFonts w:hint="eastAsia"/>
                <w:sz w:val="16"/>
                <w:szCs w:val="16"/>
              </w:rPr>
              <w:t xml:space="preserve"> </w:t>
            </w:r>
            <w:r>
              <w:rPr>
                <w:rFonts w:hint="eastAsia"/>
                <w:sz w:val="16"/>
                <w:szCs w:val="16"/>
              </w:rPr>
              <w:t>设备到货率</w:t>
            </w:r>
            <w:r>
              <w:rPr>
                <w:rFonts w:hint="eastAsia"/>
                <w:sz w:val="16"/>
                <w:szCs w:val="16"/>
              </w:rPr>
              <w:t>100%</w:t>
            </w:r>
            <w:r>
              <w:rPr>
                <w:rFonts w:hint="eastAsia"/>
                <w:sz w:val="16"/>
                <w:szCs w:val="16"/>
              </w:rPr>
              <w:t>，安装调试完成的</w:t>
            </w:r>
            <w:r>
              <w:rPr>
                <w:rFonts w:hint="eastAsia"/>
                <w:sz w:val="16"/>
                <w:szCs w:val="16"/>
              </w:rPr>
              <w:t>50%</w:t>
            </w:r>
            <w:r>
              <w:rPr>
                <w:rFonts w:hint="eastAsia"/>
                <w:sz w:val="16"/>
                <w:szCs w:val="16"/>
              </w:rPr>
              <w:t>；</w:t>
            </w:r>
            <w:r>
              <w:rPr>
                <w:rFonts w:hint="eastAsia"/>
                <w:sz w:val="16"/>
                <w:szCs w:val="16"/>
              </w:rPr>
              <w:t>2020</w:t>
            </w:r>
            <w:r>
              <w:rPr>
                <w:rFonts w:hint="eastAsia"/>
                <w:sz w:val="16"/>
                <w:szCs w:val="16"/>
              </w:rPr>
              <w:t>年</w:t>
            </w:r>
            <w:r>
              <w:rPr>
                <w:rFonts w:hint="eastAsia"/>
                <w:sz w:val="16"/>
                <w:szCs w:val="16"/>
              </w:rPr>
              <w:t>11</w:t>
            </w:r>
            <w:r>
              <w:rPr>
                <w:rFonts w:hint="eastAsia"/>
                <w:sz w:val="16"/>
                <w:szCs w:val="16"/>
              </w:rPr>
              <w:t>月</w:t>
            </w:r>
            <w:r>
              <w:rPr>
                <w:rFonts w:hint="eastAsia"/>
                <w:sz w:val="16"/>
                <w:szCs w:val="16"/>
              </w:rPr>
              <w:t xml:space="preserve"> </w:t>
            </w:r>
            <w:r>
              <w:rPr>
                <w:rFonts w:hint="eastAsia"/>
                <w:sz w:val="16"/>
                <w:szCs w:val="16"/>
              </w:rPr>
              <w:t>设备安装调试率完成</w:t>
            </w:r>
            <w:r>
              <w:rPr>
                <w:rFonts w:hint="eastAsia"/>
                <w:sz w:val="16"/>
                <w:szCs w:val="16"/>
              </w:rPr>
              <w:t>80%</w:t>
            </w:r>
            <w:r>
              <w:rPr>
                <w:rFonts w:hint="eastAsia"/>
                <w:sz w:val="16"/>
                <w:szCs w:val="16"/>
              </w:rPr>
              <w:t>；</w:t>
            </w:r>
            <w:r>
              <w:rPr>
                <w:rFonts w:hint="eastAsia"/>
                <w:sz w:val="16"/>
                <w:szCs w:val="16"/>
              </w:rPr>
              <w:t>2020</w:t>
            </w:r>
            <w:r>
              <w:rPr>
                <w:rFonts w:hint="eastAsia"/>
                <w:sz w:val="16"/>
                <w:szCs w:val="16"/>
              </w:rPr>
              <w:t>年</w:t>
            </w:r>
            <w:r>
              <w:rPr>
                <w:rFonts w:hint="eastAsia"/>
                <w:sz w:val="16"/>
                <w:szCs w:val="16"/>
              </w:rPr>
              <w:t>12</w:t>
            </w:r>
            <w:r>
              <w:rPr>
                <w:rFonts w:hint="eastAsia"/>
                <w:sz w:val="16"/>
                <w:szCs w:val="16"/>
              </w:rPr>
              <w:t>月</w:t>
            </w:r>
            <w:r>
              <w:rPr>
                <w:rFonts w:hint="eastAsia"/>
                <w:sz w:val="16"/>
                <w:szCs w:val="16"/>
              </w:rPr>
              <w:t xml:space="preserve"> </w:t>
            </w:r>
            <w:r>
              <w:rPr>
                <w:rFonts w:hint="eastAsia"/>
                <w:sz w:val="16"/>
                <w:szCs w:val="16"/>
              </w:rPr>
              <w:t>完成所有采购设备的到货验收、安装调试和尾款支付工作）</w:t>
            </w:r>
          </w:p>
        </w:tc>
        <w:tc>
          <w:tcPr>
            <w:tcW w:w="567"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5</w:t>
            </w: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及时</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4.5-5.0</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A.</w:t>
            </w:r>
            <w:r>
              <w:rPr>
                <w:rFonts w:hint="eastAsia"/>
                <w:sz w:val="16"/>
                <w:szCs w:val="16"/>
              </w:rPr>
              <w:t>项目实施进度非常及时，完全符合目标和方案要求</w:t>
            </w:r>
          </w:p>
        </w:tc>
      </w:tr>
      <w:tr w:rsidR="00000067" w:rsidTr="00000067">
        <w:trPr>
          <w:trHeight w:hRule="exact" w:val="567"/>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较及时</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3.75-4.5</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B.</w:t>
            </w:r>
            <w:r>
              <w:rPr>
                <w:rFonts w:hint="eastAsia"/>
                <w:sz w:val="16"/>
                <w:szCs w:val="16"/>
              </w:rPr>
              <w:t>项目实施进度较及时，接近目标和方案要求</w:t>
            </w:r>
          </w:p>
        </w:tc>
      </w:tr>
      <w:tr w:rsidR="00000067" w:rsidTr="00000067">
        <w:trPr>
          <w:trHeight w:hRule="exact" w:val="567"/>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基本及时</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3.0-3.75</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C.</w:t>
            </w:r>
            <w:r>
              <w:rPr>
                <w:rFonts w:hint="eastAsia"/>
                <w:sz w:val="16"/>
                <w:szCs w:val="16"/>
              </w:rPr>
              <w:t>项目实施进度基本及时，基本符合目标和方案要求</w:t>
            </w:r>
          </w:p>
        </w:tc>
      </w:tr>
      <w:tr w:rsidR="00000067" w:rsidTr="00000067">
        <w:trPr>
          <w:trHeight w:hRule="exact" w:val="567"/>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不及时</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0-3.0</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D.</w:t>
            </w:r>
            <w:r>
              <w:rPr>
                <w:rFonts w:hint="eastAsia"/>
                <w:sz w:val="16"/>
                <w:szCs w:val="16"/>
              </w:rPr>
              <w:t>项目实施进度不及时，与目标和方案差距较大</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产出成本（</w:t>
            </w:r>
            <w:r>
              <w:rPr>
                <w:rFonts w:hint="eastAsia"/>
                <w:sz w:val="16"/>
                <w:szCs w:val="16"/>
              </w:rPr>
              <w:t>5</w:t>
            </w:r>
            <w:r>
              <w:rPr>
                <w:rFonts w:hint="eastAsia"/>
                <w:sz w:val="16"/>
                <w:szCs w:val="16"/>
              </w:rPr>
              <w:t>分）</w:t>
            </w:r>
          </w:p>
        </w:tc>
        <w:tc>
          <w:tcPr>
            <w:tcW w:w="2410"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成本控制程度（项目预算总额</w:t>
            </w:r>
            <w:r>
              <w:rPr>
                <w:rFonts w:hint="eastAsia"/>
                <w:sz w:val="16"/>
                <w:szCs w:val="16"/>
              </w:rPr>
              <w:t>1659.1166</w:t>
            </w:r>
            <w:r>
              <w:rPr>
                <w:rFonts w:hint="eastAsia"/>
                <w:sz w:val="16"/>
                <w:szCs w:val="16"/>
              </w:rPr>
              <w:t>万元）</w:t>
            </w:r>
          </w:p>
        </w:tc>
        <w:tc>
          <w:tcPr>
            <w:tcW w:w="567"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5</w:t>
            </w: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符合</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4.5-5.0</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A.</w:t>
            </w:r>
            <w:r>
              <w:rPr>
                <w:rFonts w:hint="eastAsia"/>
                <w:sz w:val="16"/>
                <w:szCs w:val="16"/>
              </w:rPr>
              <w:t>项目支出与实施方案中设定的标准、项目预算金额相符</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较符合</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3.75-4.5</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B.</w:t>
            </w:r>
            <w:r>
              <w:rPr>
                <w:rFonts w:hint="eastAsia"/>
                <w:sz w:val="16"/>
                <w:szCs w:val="16"/>
              </w:rPr>
              <w:t>项目支出与实施方案中设定的标准、项目预算金额比较相符</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基本符合</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3.0-3.75</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C.</w:t>
            </w:r>
            <w:r>
              <w:rPr>
                <w:rFonts w:hint="eastAsia"/>
                <w:sz w:val="16"/>
                <w:szCs w:val="16"/>
              </w:rPr>
              <w:t>项目支出与实施方案中设定的标准、项目预算金额基本相符</w:t>
            </w:r>
          </w:p>
        </w:tc>
      </w:tr>
      <w:tr w:rsidR="00000067" w:rsidTr="00000067">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不符合</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0-3.0</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D.</w:t>
            </w:r>
            <w:r>
              <w:rPr>
                <w:rFonts w:hint="eastAsia"/>
                <w:sz w:val="16"/>
                <w:szCs w:val="16"/>
              </w:rPr>
              <w:t>项目支出与实施方案中设定的标准、项目预算金额不符</w:t>
            </w:r>
          </w:p>
        </w:tc>
      </w:tr>
      <w:tr w:rsidR="00000067" w:rsidTr="00C0327D">
        <w:trPr>
          <w:trHeight w:hRule="exact" w:val="851"/>
        </w:trPr>
        <w:tc>
          <w:tcPr>
            <w:tcW w:w="724"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项目效益（</w:t>
            </w:r>
            <w:r>
              <w:rPr>
                <w:rFonts w:hint="eastAsia"/>
                <w:sz w:val="16"/>
                <w:szCs w:val="16"/>
              </w:rPr>
              <w:t>30</w:t>
            </w:r>
            <w:r>
              <w:rPr>
                <w:rFonts w:hint="eastAsia"/>
                <w:sz w:val="16"/>
                <w:szCs w:val="16"/>
              </w:rPr>
              <w:lastRenderedPageBreak/>
              <w:t>分）</w:t>
            </w:r>
          </w:p>
        </w:tc>
        <w:tc>
          <w:tcPr>
            <w:tcW w:w="851"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lastRenderedPageBreak/>
              <w:t>项目效果（</w:t>
            </w:r>
            <w:r>
              <w:rPr>
                <w:rFonts w:hint="eastAsia"/>
                <w:sz w:val="16"/>
                <w:szCs w:val="16"/>
              </w:rPr>
              <w:t>25</w:t>
            </w:r>
            <w:r>
              <w:rPr>
                <w:rFonts w:hint="eastAsia"/>
                <w:sz w:val="16"/>
                <w:szCs w:val="16"/>
              </w:rPr>
              <w:lastRenderedPageBreak/>
              <w:t>分）</w:t>
            </w:r>
          </w:p>
        </w:tc>
        <w:tc>
          <w:tcPr>
            <w:tcW w:w="850"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lastRenderedPageBreak/>
              <w:t>社会效益</w:t>
            </w:r>
            <w:r>
              <w:rPr>
                <w:rFonts w:hint="eastAsia"/>
                <w:sz w:val="16"/>
                <w:szCs w:val="16"/>
              </w:rPr>
              <w:br/>
            </w:r>
            <w:r>
              <w:rPr>
                <w:rFonts w:hint="eastAsia"/>
                <w:sz w:val="16"/>
                <w:szCs w:val="16"/>
              </w:rPr>
              <w:lastRenderedPageBreak/>
              <w:t>（</w:t>
            </w:r>
            <w:r>
              <w:rPr>
                <w:rFonts w:hint="eastAsia"/>
                <w:sz w:val="16"/>
                <w:szCs w:val="16"/>
              </w:rPr>
              <w:t>15</w:t>
            </w:r>
            <w:r>
              <w:rPr>
                <w:rFonts w:hint="eastAsia"/>
                <w:sz w:val="16"/>
                <w:szCs w:val="16"/>
              </w:rPr>
              <w:t>分）</w:t>
            </w:r>
          </w:p>
        </w:tc>
        <w:tc>
          <w:tcPr>
            <w:tcW w:w="2410" w:type="dxa"/>
            <w:vMerge w:val="restart"/>
            <w:shd w:val="clear" w:color="auto" w:fill="auto"/>
            <w:vAlign w:val="center"/>
            <w:hideMark/>
          </w:tcPr>
          <w:p w:rsidR="00000067" w:rsidRDefault="00000067">
            <w:pPr>
              <w:spacing w:after="240"/>
              <w:jc w:val="center"/>
              <w:rPr>
                <w:rFonts w:ascii="宋体" w:hAnsi="宋体" w:cs="宋体"/>
                <w:sz w:val="16"/>
                <w:szCs w:val="16"/>
              </w:rPr>
            </w:pPr>
            <w:r>
              <w:rPr>
                <w:rFonts w:hint="eastAsia"/>
                <w:sz w:val="16"/>
                <w:szCs w:val="16"/>
              </w:rPr>
              <w:lastRenderedPageBreak/>
              <w:t>通过项目实施满足冬奥食源性兴奋剂检测服务技术需求，提升</w:t>
            </w:r>
            <w:r>
              <w:rPr>
                <w:rFonts w:hint="eastAsia"/>
                <w:sz w:val="16"/>
                <w:szCs w:val="16"/>
              </w:rPr>
              <w:lastRenderedPageBreak/>
              <w:t>首都食品安全技术职称保障能力，满足冬奥会供应食品监管需求，确保冬奥会、冬残奥会供赛食品安全。</w:t>
            </w:r>
          </w:p>
        </w:tc>
        <w:tc>
          <w:tcPr>
            <w:tcW w:w="567"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lastRenderedPageBreak/>
              <w:t>15</w:t>
            </w: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显著</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13.0-15.0</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A.</w:t>
            </w:r>
            <w:r>
              <w:rPr>
                <w:rFonts w:hint="eastAsia"/>
                <w:sz w:val="16"/>
                <w:szCs w:val="16"/>
              </w:rPr>
              <w:t>项目在满足冬奥餐饮用食品相关产品质量技术要求，完善冬奥会食品相关产品质量安全措施规范。确保冬奥会、冬残奥会供赛食品相关产品安全。提升首都食品相关产品安全技术支撑保障能力方面的作用显著</w:t>
            </w:r>
          </w:p>
        </w:tc>
      </w:tr>
      <w:tr w:rsidR="00000067" w:rsidTr="00C0327D">
        <w:trPr>
          <w:trHeight w:hRule="exact" w:val="92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较显著</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11.0-13.0</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B.</w:t>
            </w:r>
            <w:r>
              <w:rPr>
                <w:rFonts w:hint="eastAsia"/>
                <w:sz w:val="16"/>
                <w:szCs w:val="16"/>
              </w:rPr>
              <w:t>项目在满足冬奥餐饮用食品相关产品质量技术要求，完善冬奥会食品相关产品质量安全措施规范。确保冬奥会、冬残奥会供赛食品相关产品安全。提升首都食品相关产品安全技术支撑保障能力方面的作用较显著</w:t>
            </w:r>
          </w:p>
        </w:tc>
      </w:tr>
      <w:tr w:rsidR="00000067" w:rsidTr="00C0327D">
        <w:trPr>
          <w:trHeight w:hRule="exact" w:val="851"/>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一般</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9.0-11.0</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C.</w:t>
            </w:r>
            <w:r>
              <w:rPr>
                <w:rFonts w:hint="eastAsia"/>
                <w:sz w:val="16"/>
                <w:szCs w:val="16"/>
              </w:rPr>
              <w:t>项目在满足冬奥餐饮用食品相关产品质量技术要求，完善冬奥会食品相关产品质量安全措施规范。确保冬奥会、冬残奥会供赛食品相关产品安全。提升首都食品相关产品安全技术支撑保障能力方面的作用一般</w:t>
            </w:r>
          </w:p>
        </w:tc>
      </w:tr>
      <w:tr w:rsidR="00000067" w:rsidTr="00C0327D">
        <w:trPr>
          <w:trHeight w:hRule="exact" w:val="851"/>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不明显</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0-9.0</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D.</w:t>
            </w:r>
            <w:r>
              <w:rPr>
                <w:rFonts w:hint="eastAsia"/>
                <w:sz w:val="16"/>
                <w:szCs w:val="16"/>
              </w:rPr>
              <w:t>项目在满足冬奥餐饮用食品相关产品质量技术要求，完善冬奥会食品相关产品质量安全措施规范。确保冬奥会、冬残奥会供赛食品相关产品安全。提升首都食品相关产品安全技术支撑保障能力方面的作用不明显或没有作用</w:t>
            </w:r>
          </w:p>
        </w:tc>
      </w:tr>
      <w:tr w:rsidR="00000067" w:rsidTr="00C0327D">
        <w:trPr>
          <w:trHeight w:hRule="exact" w:val="851"/>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可持续影响（</w:t>
            </w:r>
            <w:r>
              <w:rPr>
                <w:rFonts w:hint="eastAsia"/>
                <w:sz w:val="16"/>
                <w:szCs w:val="16"/>
              </w:rPr>
              <w:t>10</w:t>
            </w:r>
            <w:r>
              <w:rPr>
                <w:rFonts w:hint="eastAsia"/>
                <w:sz w:val="16"/>
                <w:szCs w:val="16"/>
              </w:rPr>
              <w:t>分）</w:t>
            </w:r>
          </w:p>
        </w:tc>
        <w:tc>
          <w:tcPr>
            <w:tcW w:w="2410" w:type="dxa"/>
            <w:vMerge w:val="restart"/>
            <w:shd w:val="clear" w:color="auto" w:fill="auto"/>
            <w:vAlign w:val="center"/>
            <w:hideMark/>
          </w:tcPr>
          <w:p w:rsidR="00000067" w:rsidRDefault="00000067">
            <w:pPr>
              <w:rPr>
                <w:rFonts w:ascii="宋体" w:hAnsi="宋体" w:cs="宋体"/>
                <w:sz w:val="16"/>
                <w:szCs w:val="16"/>
              </w:rPr>
            </w:pPr>
            <w:r>
              <w:rPr>
                <w:rFonts w:hint="eastAsia"/>
                <w:sz w:val="16"/>
                <w:szCs w:val="16"/>
              </w:rPr>
              <w:t>提高日常抽检监测的工作效率，提升首都乃至全国的食品安全日常监督和食品安全突发事件应急检验能力；</w:t>
            </w:r>
            <w:r>
              <w:rPr>
                <w:rFonts w:hint="eastAsia"/>
                <w:sz w:val="16"/>
                <w:szCs w:val="16"/>
              </w:rPr>
              <w:br w:type="page"/>
            </w:r>
            <w:r>
              <w:rPr>
                <w:rFonts w:hint="eastAsia"/>
                <w:sz w:val="16"/>
                <w:szCs w:val="16"/>
              </w:rPr>
              <w:t>进一步加强食品中未知物质和有毒有害物质筛查鉴定技术能力建设，提升大型活动食品安全技术保障能力，完善首都食品安全风险监测体系，为政府科学决策提供有力的技术支撑。</w:t>
            </w:r>
          </w:p>
        </w:tc>
        <w:tc>
          <w:tcPr>
            <w:tcW w:w="567"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10</w:t>
            </w: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显著</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9.0-10.0</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A.</w:t>
            </w:r>
            <w:r>
              <w:rPr>
                <w:rFonts w:hint="eastAsia"/>
                <w:sz w:val="16"/>
                <w:szCs w:val="16"/>
              </w:rPr>
              <w:t>对提升首都乃至全国的食品安全日常监督和食品安全突发事件应急检验能力影响显著</w:t>
            </w:r>
          </w:p>
        </w:tc>
      </w:tr>
      <w:tr w:rsidR="00000067" w:rsidTr="00C0327D">
        <w:trPr>
          <w:trHeight w:hRule="exact" w:val="851"/>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较显著</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7.5-9.0</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B.</w:t>
            </w:r>
            <w:r>
              <w:rPr>
                <w:rFonts w:hint="eastAsia"/>
                <w:sz w:val="16"/>
                <w:szCs w:val="16"/>
              </w:rPr>
              <w:t>对提升首都乃至全国的食品安全日常监督和食品安全突发事件应急检验能力影响较显著</w:t>
            </w:r>
          </w:p>
        </w:tc>
      </w:tr>
      <w:tr w:rsidR="00000067" w:rsidTr="00C0327D">
        <w:trPr>
          <w:trHeight w:hRule="exact" w:val="851"/>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一般</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6.0-7.5</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C.</w:t>
            </w:r>
            <w:r>
              <w:rPr>
                <w:rFonts w:hint="eastAsia"/>
                <w:sz w:val="16"/>
                <w:szCs w:val="16"/>
              </w:rPr>
              <w:t>对提升首都乃至全国的食品安全日常监督和食品安全突发事件应急检验能力影响一般</w:t>
            </w:r>
          </w:p>
        </w:tc>
      </w:tr>
      <w:tr w:rsidR="00000067" w:rsidTr="00C0327D">
        <w:trPr>
          <w:trHeight w:hRule="exact" w:val="851"/>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不明显</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0-6.0</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D.</w:t>
            </w:r>
            <w:r>
              <w:rPr>
                <w:rFonts w:hint="eastAsia"/>
                <w:sz w:val="16"/>
                <w:szCs w:val="16"/>
              </w:rPr>
              <w:t>对提升首都乃至全国的食品安全日常监督和食品安全突发事件应急检验能力影响不明显</w:t>
            </w:r>
          </w:p>
        </w:tc>
      </w:tr>
      <w:tr w:rsidR="00000067" w:rsidTr="00C0327D">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服务对象满意度指标（</w:t>
            </w:r>
            <w:r>
              <w:rPr>
                <w:rFonts w:hint="eastAsia"/>
                <w:sz w:val="16"/>
                <w:szCs w:val="16"/>
              </w:rPr>
              <w:t>5</w:t>
            </w:r>
            <w:r>
              <w:rPr>
                <w:rFonts w:hint="eastAsia"/>
                <w:sz w:val="16"/>
                <w:szCs w:val="16"/>
              </w:rPr>
              <w:t>分）</w:t>
            </w:r>
          </w:p>
        </w:tc>
        <w:tc>
          <w:tcPr>
            <w:tcW w:w="850"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设备使用人员</w:t>
            </w:r>
            <w:r>
              <w:rPr>
                <w:rFonts w:hint="eastAsia"/>
                <w:sz w:val="16"/>
                <w:szCs w:val="16"/>
              </w:rPr>
              <w:br/>
            </w:r>
            <w:r>
              <w:rPr>
                <w:rFonts w:hint="eastAsia"/>
                <w:sz w:val="16"/>
                <w:szCs w:val="16"/>
              </w:rPr>
              <w:t>（</w:t>
            </w:r>
            <w:r>
              <w:rPr>
                <w:rFonts w:hint="eastAsia"/>
                <w:sz w:val="16"/>
                <w:szCs w:val="16"/>
              </w:rPr>
              <w:t>5</w:t>
            </w:r>
            <w:r>
              <w:rPr>
                <w:rFonts w:hint="eastAsia"/>
                <w:sz w:val="16"/>
                <w:szCs w:val="16"/>
              </w:rPr>
              <w:t>分）</w:t>
            </w:r>
          </w:p>
        </w:tc>
        <w:tc>
          <w:tcPr>
            <w:tcW w:w="2410"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满意度≥</w:t>
            </w:r>
            <w:r>
              <w:rPr>
                <w:rFonts w:hint="eastAsia"/>
                <w:sz w:val="16"/>
                <w:szCs w:val="16"/>
              </w:rPr>
              <w:t>95%</w:t>
            </w:r>
          </w:p>
        </w:tc>
        <w:tc>
          <w:tcPr>
            <w:tcW w:w="567" w:type="dxa"/>
            <w:vMerge w:val="restart"/>
            <w:shd w:val="clear" w:color="auto" w:fill="auto"/>
            <w:vAlign w:val="center"/>
            <w:hideMark/>
          </w:tcPr>
          <w:p w:rsidR="00000067" w:rsidRDefault="00000067">
            <w:pPr>
              <w:jc w:val="center"/>
              <w:rPr>
                <w:rFonts w:ascii="宋体" w:hAnsi="宋体" w:cs="宋体"/>
                <w:sz w:val="16"/>
                <w:szCs w:val="16"/>
              </w:rPr>
            </w:pPr>
            <w:r>
              <w:rPr>
                <w:rFonts w:hint="eastAsia"/>
                <w:sz w:val="16"/>
                <w:szCs w:val="16"/>
              </w:rPr>
              <w:t>5</w:t>
            </w: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满意</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4.5-5.0</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A.</w:t>
            </w:r>
            <w:r>
              <w:rPr>
                <w:rFonts w:hint="eastAsia"/>
                <w:sz w:val="16"/>
                <w:szCs w:val="16"/>
              </w:rPr>
              <w:t>参加冬奥会相关人员对食品安全的满意度高</w:t>
            </w:r>
          </w:p>
        </w:tc>
      </w:tr>
      <w:tr w:rsidR="00000067" w:rsidTr="00C0327D">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较满意</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3.75-4.5</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B.</w:t>
            </w:r>
            <w:r>
              <w:rPr>
                <w:rFonts w:hint="eastAsia"/>
                <w:sz w:val="16"/>
                <w:szCs w:val="16"/>
              </w:rPr>
              <w:t>参加冬奥会相关人员对食品安全的满意度较高</w:t>
            </w:r>
          </w:p>
        </w:tc>
      </w:tr>
      <w:tr w:rsidR="00000067" w:rsidTr="00C0327D">
        <w:trPr>
          <w:trHeight w:hRule="exact" w:val="340"/>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一般</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3.0-3.75</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C.</w:t>
            </w:r>
            <w:r>
              <w:rPr>
                <w:rFonts w:hint="eastAsia"/>
                <w:sz w:val="16"/>
                <w:szCs w:val="16"/>
              </w:rPr>
              <w:t>参加冬奥会相关人员对食品安全的满意度一般</w:t>
            </w:r>
          </w:p>
        </w:tc>
      </w:tr>
      <w:tr w:rsidR="00000067" w:rsidTr="00C0327D">
        <w:trPr>
          <w:trHeight w:hRule="exact" w:val="369"/>
        </w:trPr>
        <w:tc>
          <w:tcPr>
            <w:tcW w:w="724" w:type="dxa"/>
            <w:vMerge/>
            <w:vAlign w:val="center"/>
            <w:hideMark/>
          </w:tcPr>
          <w:p w:rsidR="00000067" w:rsidRDefault="00000067">
            <w:pPr>
              <w:rPr>
                <w:rFonts w:ascii="宋体" w:hAnsi="宋体" w:cs="宋体"/>
                <w:sz w:val="16"/>
                <w:szCs w:val="16"/>
              </w:rPr>
            </w:pPr>
          </w:p>
        </w:tc>
        <w:tc>
          <w:tcPr>
            <w:tcW w:w="851" w:type="dxa"/>
            <w:vMerge/>
            <w:vAlign w:val="center"/>
            <w:hideMark/>
          </w:tcPr>
          <w:p w:rsidR="00000067" w:rsidRDefault="00000067">
            <w:pPr>
              <w:rPr>
                <w:rFonts w:ascii="宋体" w:hAnsi="宋体" w:cs="宋体"/>
                <w:sz w:val="16"/>
                <w:szCs w:val="16"/>
              </w:rPr>
            </w:pPr>
          </w:p>
        </w:tc>
        <w:tc>
          <w:tcPr>
            <w:tcW w:w="850" w:type="dxa"/>
            <w:vMerge/>
            <w:vAlign w:val="center"/>
            <w:hideMark/>
          </w:tcPr>
          <w:p w:rsidR="00000067" w:rsidRDefault="00000067">
            <w:pPr>
              <w:rPr>
                <w:rFonts w:ascii="宋体" w:hAnsi="宋体" w:cs="宋体"/>
                <w:sz w:val="16"/>
                <w:szCs w:val="16"/>
              </w:rPr>
            </w:pPr>
          </w:p>
        </w:tc>
        <w:tc>
          <w:tcPr>
            <w:tcW w:w="2410" w:type="dxa"/>
            <w:vMerge/>
            <w:vAlign w:val="center"/>
            <w:hideMark/>
          </w:tcPr>
          <w:p w:rsidR="00000067" w:rsidRDefault="00000067">
            <w:pPr>
              <w:rPr>
                <w:rFonts w:ascii="宋体" w:hAnsi="宋体" w:cs="宋体"/>
                <w:sz w:val="16"/>
                <w:szCs w:val="16"/>
              </w:rPr>
            </w:pPr>
          </w:p>
        </w:tc>
        <w:tc>
          <w:tcPr>
            <w:tcW w:w="567" w:type="dxa"/>
            <w:vMerge/>
            <w:vAlign w:val="center"/>
            <w:hideMark/>
          </w:tcPr>
          <w:p w:rsidR="00000067" w:rsidRDefault="00000067">
            <w:pPr>
              <w:rPr>
                <w:rFonts w:ascii="宋体" w:hAnsi="宋体" w:cs="宋体"/>
                <w:sz w:val="16"/>
                <w:szCs w:val="16"/>
              </w:rPr>
            </w:pPr>
          </w:p>
        </w:tc>
        <w:tc>
          <w:tcPr>
            <w:tcW w:w="992"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不满意</w:t>
            </w:r>
          </w:p>
        </w:tc>
        <w:tc>
          <w:tcPr>
            <w:tcW w:w="851" w:type="dxa"/>
            <w:shd w:val="clear" w:color="auto" w:fill="auto"/>
            <w:vAlign w:val="center"/>
            <w:hideMark/>
          </w:tcPr>
          <w:p w:rsidR="00000067" w:rsidRDefault="00000067">
            <w:pPr>
              <w:jc w:val="center"/>
              <w:rPr>
                <w:rFonts w:ascii="宋体" w:hAnsi="宋体" w:cs="宋体"/>
                <w:sz w:val="16"/>
                <w:szCs w:val="16"/>
              </w:rPr>
            </w:pPr>
            <w:r>
              <w:rPr>
                <w:rFonts w:hint="eastAsia"/>
                <w:sz w:val="16"/>
                <w:szCs w:val="16"/>
              </w:rPr>
              <w:t>0-3.0</w:t>
            </w:r>
          </w:p>
        </w:tc>
        <w:tc>
          <w:tcPr>
            <w:tcW w:w="7654" w:type="dxa"/>
            <w:shd w:val="clear" w:color="auto" w:fill="auto"/>
            <w:vAlign w:val="center"/>
            <w:hideMark/>
          </w:tcPr>
          <w:p w:rsidR="00000067" w:rsidRDefault="00000067">
            <w:pPr>
              <w:rPr>
                <w:rFonts w:ascii="宋体" w:hAnsi="宋体" w:cs="宋体"/>
                <w:sz w:val="16"/>
                <w:szCs w:val="16"/>
              </w:rPr>
            </w:pPr>
            <w:r>
              <w:rPr>
                <w:rFonts w:hint="eastAsia"/>
                <w:sz w:val="16"/>
                <w:szCs w:val="16"/>
              </w:rPr>
              <w:t>D.</w:t>
            </w:r>
            <w:r>
              <w:rPr>
                <w:rFonts w:hint="eastAsia"/>
                <w:sz w:val="16"/>
                <w:szCs w:val="16"/>
              </w:rPr>
              <w:t>参加冬奥会相关人员对食品安全的满意度不高</w:t>
            </w:r>
          </w:p>
        </w:tc>
      </w:tr>
    </w:tbl>
    <w:p w:rsidR="00C0327D" w:rsidRDefault="00C0327D">
      <w:pPr>
        <w:spacing w:line="560" w:lineRule="exact"/>
        <w:rPr>
          <w:rFonts w:ascii="仿宋" w:eastAsia="仿宋" w:hAnsi="仿宋"/>
          <w:color w:val="000000"/>
          <w:sz w:val="28"/>
          <w:szCs w:val="28"/>
        </w:rPr>
        <w:sectPr w:rsidR="00C0327D" w:rsidSect="009F707E">
          <w:pgSz w:w="16838" w:h="11906" w:orient="landscape"/>
          <w:pgMar w:top="1843" w:right="1418" w:bottom="1558" w:left="851" w:header="851" w:footer="992" w:gutter="0"/>
          <w:cols w:space="720"/>
          <w:docGrid w:type="linesAndChars" w:linePitch="312"/>
        </w:sectPr>
      </w:pP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lastRenderedPageBreak/>
        <w:t>3、绩效评价方法</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本次绩效评价方法主要有效益分析法、比较法、因素分析法、公众评判法。</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（1）成本效益分析法。是指将投入与产出、效益进行关联性分析的方法。</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（2）比较法。是指将实施情况与绩效目标、历史情况、不同部门和地区同类支出情况进行比较的方法。</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（3）因素分析法。是指综合分析影响绩效目标实现、实施效果的内外部因素的方法。</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（4）公众评判法。是指通过专家评估、公众问卷及抽样调查的方式进行评判的方法。</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4、绩效评价标准</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本项目采用计划标准、行业标准进行评价。</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（1）计划标准。指以预先制定的目标、计划、预算、定额作为评价标准。</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（2）行业标准。</w:t>
      </w:r>
      <w:r w:rsidRPr="0077616C">
        <w:rPr>
          <w:rFonts w:ascii="仿宋" w:eastAsia="仿宋" w:hAnsi="仿宋"/>
          <w:color w:val="000000"/>
          <w:sz w:val="28"/>
          <w:szCs w:val="28"/>
        </w:rPr>
        <w:t>指参照国家公布的行业指标数据制定的评价标准</w:t>
      </w:r>
      <w:r w:rsidRPr="0077616C">
        <w:rPr>
          <w:rFonts w:ascii="仿宋" w:eastAsia="仿宋" w:hAnsi="仿宋" w:hint="eastAsia"/>
          <w:color w:val="000000"/>
          <w:sz w:val="28"/>
          <w:szCs w:val="28"/>
        </w:rPr>
        <w:t>。</w:t>
      </w:r>
    </w:p>
    <w:p w:rsidR="00C0327D" w:rsidRPr="00C64930" w:rsidRDefault="00C0327D" w:rsidP="00084E6F">
      <w:pPr>
        <w:pStyle w:val="2"/>
        <w:spacing w:beforeLines="50" w:afterLines="50" w:line="360" w:lineRule="auto"/>
        <w:ind w:firstLineChars="200" w:firstLine="562"/>
        <w:rPr>
          <w:rFonts w:ascii="仿宋" w:eastAsia="仿宋" w:hAnsi="仿宋"/>
          <w:sz w:val="28"/>
          <w:szCs w:val="28"/>
        </w:rPr>
      </w:pPr>
      <w:bookmarkStart w:id="7" w:name="_Toc72500596"/>
      <w:r w:rsidRPr="00C64930">
        <w:rPr>
          <w:rFonts w:ascii="仿宋" w:eastAsia="仿宋" w:hAnsi="仿宋" w:hint="eastAsia"/>
          <w:sz w:val="28"/>
          <w:szCs w:val="28"/>
        </w:rPr>
        <w:t>（三）绩效评价工作过程</w:t>
      </w:r>
      <w:bookmarkEnd w:id="7"/>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1、前期准备情况</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一是接受委托方任务，拟定部门绩效评价工作方案，成立绩效评价工作组；二是开展入户调研，组织针对性培训；三是收集整理资料。</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2、现场勘查情况</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亲临项目现场，对设备状况进行勘查并形成勘查记录。主要勘查</w:t>
      </w:r>
      <w:r w:rsidRPr="0077616C">
        <w:rPr>
          <w:rFonts w:ascii="仿宋" w:eastAsia="仿宋" w:hAnsi="仿宋" w:hint="eastAsia"/>
          <w:color w:val="000000"/>
          <w:sz w:val="28"/>
          <w:szCs w:val="28"/>
        </w:rPr>
        <w:lastRenderedPageBreak/>
        <w:t>内容为：抽盘已到货仪器设备及使用状况。</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3、资料信息汇总</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评价工作组在充分调研的基础上，对收集资料进行逐一核实，相关各方签收确认。按照指标体系内容和评价重点，工作组进行分类整理并装订成册，供专家审阅评价。</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4、召开绩效评价工作会，形成评价结论</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评价工作组将项目资料汇编成为《资料手册》，供专家等对项目情况进行详细的了解，并在评价会前5个工作日召开专家预备会。在此期间，评价工作组与五位专家就项目问题进行了详细的沟通与探讨。在资料收集齐全、问题相对清晰、指标体系完善的情况下，评价工作组于2021年5月12日召开评价会。会上专家就项目绩效情况进行评价和打分，并出具评价意见。</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5、撰写绩效评价报告</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评价工作组根据五位专家的问题、建议以及评价会的会议纪要，对该项目进行详细的分析总结，并根据项目实际情况撰写绩效评价报告。</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6、沟通反馈初步评价意见</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绩效评价报告初稿完成后，评价工作组就报告中反映的问题与项目单位进行沟通，获取反馈意见。</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7、形成正式绩效评价报告，归档绩效评价资料</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评价工作组在项目单位反馈意见的基础上，对报告内容进行完善，形成正式绩效评价报告；绩效评价工作结束后，整理归档绩效评价资</w:t>
      </w:r>
      <w:r w:rsidRPr="0077616C">
        <w:rPr>
          <w:rFonts w:ascii="仿宋" w:eastAsia="仿宋" w:hAnsi="仿宋" w:hint="eastAsia"/>
          <w:color w:val="000000"/>
          <w:sz w:val="28"/>
          <w:szCs w:val="28"/>
        </w:rPr>
        <w:lastRenderedPageBreak/>
        <w:t>料。</w:t>
      </w:r>
    </w:p>
    <w:p w:rsidR="00C0327D" w:rsidRPr="00C64930" w:rsidRDefault="00C0327D" w:rsidP="00084E6F">
      <w:pPr>
        <w:pStyle w:val="1"/>
        <w:spacing w:beforeLines="50" w:afterLines="50"/>
        <w:ind w:left="0" w:firstLine="562"/>
        <w:jc w:val="left"/>
        <w:rPr>
          <w:rFonts w:ascii="仿宋" w:eastAsia="仿宋" w:hAnsi="仿宋"/>
          <w:color w:val="000000"/>
          <w:sz w:val="28"/>
          <w:szCs w:val="28"/>
        </w:rPr>
      </w:pPr>
      <w:bookmarkStart w:id="8" w:name="_Toc72500597"/>
      <w:r w:rsidRPr="00C64930">
        <w:rPr>
          <w:rFonts w:ascii="仿宋" w:eastAsia="仿宋" w:hAnsi="仿宋" w:hint="eastAsia"/>
          <w:color w:val="000000"/>
          <w:sz w:val="28"/>
          <w:szCs w:val="28"/>
        </w:rPr>
        <w:t>三、综合评价情况及评价结论（附相关评分表）</w:t>
      </w:r>
      <w:bookmarkEnd w:id="8"/>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2020年“追加2022年冬奥会和冬残奥会食品安全保障检验检测仪器设备配置项目尾款”项目绩效评价综合得分90.09分，其中，项目决策13.10分，项目管理</w:t>
      </w:r>
      <w:r w:rsidRPr="0077616C">
        <w:rPr>
          <w:rFonts w:ascii="仿宋" w:eastAsia="仿宋" w:hAnsi="仿宋"/>
          <w:color w:val="000000"/>
          <w:sz w:val="28"/>
          <w:szCs w:val="28"/>
        </w:rPr>
        <w:t>2</w:t>
      </w:r>
      <w:r w:rsidRPr="0077616C">
        <w:rPr>
          <w:rFonts w:ascii="仿宋" w:eastAsia="仿宋" w:hAnsi="仿宋" w:hint="eastAsia"/>
          <w:color w:val="000000"/>
          <w:sz w:val="28"/>
          <w:szCs w:val="28"/>
        </w:rPr>
        <w:t>1.53分，项目产出27.96分，项目效益27.50分，项目综合绩效评定结论为“优秀”，具体情况详见下表。</w:t>
      </w:r>
    </w:p>
    <w:p w:rsidR="00C0327D" w:rsidRDefault="00C0327D" w:rsidP="00084E6F">
      <w:pPr>
        <w:spacing w:beforeLines="50" w:line="360" w:lineRule="auto"/>
        <w:ind w:firstLine="560"/>
        <w:jc w:val="center"/>
        <w:rPr>
          <w:rFonts w:ascii="仿宋" w:eastAsia="仿宋" w:hAnsi="仿宋"/>
          <w:bCs/>
          <w:caps/>
          <w:color w:val="000000"/>
          <w:sz w:val="28"/>
          <w:szCs w:val="28"/>
        </w:rPr>
      </w:pPr>
      <w:r>
        <w:rPr>
          <w:rFonts w:ascii="仿宋" w:eastAsia="仿宋" w:hAnsi="仿宋" w:hint="eastAsia"/>
          <w:bCs/>
          <w:caps/>
          <w:color w:val="000000"/>
          <w:sz w:val="28"/>
          <w:szCs w:val="28"/>
        </w:rPr>
        <w:t>2020年“追加2022年冬奥会和冬残奥会食品安全保障检验检测仪器设备配置项目尾款”项目综合评价结论一览表</w:t>
      </w:r>
    </w:p>
    <w:tbl>
      <w:tblPr>
        <w:tblW w:w="0" w:type="auto"/>
        <w:tblInd w:w="93" w:type="dxa"/>
        <w:tblLayout w:type="fixed"/>
        <w:tblLook w:val="0000"/>
      </w:tblPr>
      <w:tblGrid>
        <w:gridCol w:w="3240"/>
        <w:gridCol w:w="2580"/>
        <w:gridCol w:w="2580"/>
      </w:tblGrid>
      <w:tr w:rsidR="00C0327D">
        <w:trPr>
          <w:trHeight w:val="570"/>
        </w:trPr>
        <w:tc>
          <w:tcPr>
            <w:tcW w:w="3240" w:type="dxa"/>
            <w:tcBorders>
              <w:top w:val="single" w:sz="4" w:space="0" w:color="auto"/>
              <w:left w:val="single" w:sz="4" w:space="0" w:color="auto"/>
              <w:bottom w:val="single" w:sz="4" w:space="0" w:color="auto"/>
              <w:right w:val="single" w:sz="4" w:space="0" w:color="auto"/>
            </w:tcBorders>
            <w:vAlign w:val="center"/>
          </w:tcPr>
          <w:p w:rsidR="00C0327D" w:rsidRDefault="00C0327D">
            <w:pPr>
              <w:widowControl/>
              <w:ind w:firstLine="440"/>
              <w:jc w:val="center"/>
              <w:rPr>
                <w:rFonts w:ascii="仿宋" w:eastAsia="仿宋" w:hAnsi="仿宋" w:cs="宋体"/>
                <w:color w:val="000000"/>
                <w:kern w:val="0"/>
                <w:sz w:val="24"/>
              </w:rPr>
            </w:pPr>
            <w:r>
              <w:rPr>
                <w:rFonts w:ascii="仿宋" w:eastAsia="仿宋" w:hAnsi="仿宋" w:cs="宋体" w:hint="eastAsia"/>
                <w:color w:val="000000"/>
                <w:kern w:val="0"/>
                <w:sz w:val="24"/>
              </w:rPr>
              <w:t>评价内容</w:t>
            </w:r>
          </w:p>
        </w:tc>
        <w:tc>
          <w:tcPr>
            <w:tcW w:w="2580" w:type="dxa"/>
            <w:tcBorders>
              <w:top w:val="single" w:sz="4" w:space="0" w:color="auto"/>
              <w:left w:val="nil"/>
              <w:bottom w:val="single" w:sz="4" w:space="0" w:color="auto"/>
              <w:right w:val="single" w:sz="4" w:space="0" w:color="auto"/>
            </w:tcBorders>
            <w:vAlign w:val="center"/>
          </w:tcPr>
          <w:p w:rsidR="00C0327D" w:rsidRDefault="00C0327D">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分值</w:t>
            </w:r>
          </w:p>
        </w:tc>
        <w:tc>
          <w:tcPr>
            <w:tcW w:w="2580" w:type="dxa"/>
            <w:tcBorders>
              <w:top w:val="single" w:sz="4" w:space="0" w:color="auto"/>
              <w:left w:val="nil"/>
              <w:bottom w:val="single" w:sz="4" w:space="0" w:color="auto"/>
              <w:right w:val="single" w:sz="4" w:space="0" w:color="auto"/>
            </w:tcBorders>
            <w:vAlign w:val="center"/>
          </w:tcPr>
          <w:p w:rsidR="00C0327D" w:rsidRDefault="00C0327D">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评价得分</w:t>
            </w:r>
          </w:p>
        </w:tc>
      </w:tr>
      <w:tr w:rsidR="00C0327D">
        <w:trPr>
          <w:trHeight w:val="570"/>
        </w:trPr>
        <w:tc>
          <w:tcPr>
            <w:tcW w:w="3240" w:type="dxa"/>
            <w:tcBorders>
              <w:top w:val="nil"/>
              <w:left w:val="single" w:sz="4" w:space="0" w:color="auto"/>
              <w:bottom w:val="single" w:sz="4" w:space="0" w:color="auto"/>
              <w:right w:val="single" w:sz="4" w:space="0" w:color="auto"/>
            </w:tcBorders>
            <w:vAlign w:val="center"/>
          </w:tcPr>
          <w:p w:rsidR="00C0327D" w:rsidRDefault="00C0327D">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项目决策</w:t>
            </w:r>
          </w:p>
        </w:tc>
        <w:tc>
          <w:tcPr>
            <w:tcW w:w="2580" w:type="dxa"/>
            <w:tcBorders>
              <w:top w:val="nil"/>
              <w:left w:val="nil"/>
              <w:bottom w:val="single" w:sz="4" w:space="0" w:color="auto"/>
              <w:right w:val="single" w:sz="4" w:space="0" w:color="auto"/>
            </w:tcBorders>
            <w:vAlign w:val="center"/>
          </w:tcPr>
          <w:p w:rsidR="00C0327D" w:rsidRDefault="00C0327D">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15</w:t>
            </w:r>
          </w:p>
        </w:tc>
        <w:tc>
          <w:tcPr>
            <w:tcW w:w="2580" w:type="dxa"/>
            <w:tcBorders>
              <w:top w:val="nil"/>
              <w:left w:val="nil"/>
              <w:bottom w:val="single" w:sz="4" w:space="0" w:color="auto"/>
              <w:right w:val="single" w:sz="4" w:space="0" w:color="auto"/>
            </w:tcBorders>
            <w:vAlign w:val="center"/>
          </w:tcPr>
          <w:p w:rsidR="00C0327D" w:rsidRDefault="00C0327D">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13.10</w:t>
            </w:r>
          </w:p>
        </w:tc>
      </w:tr>
      <w:tr w:rsidR="00C0327D">
        <w:trPr>
          <w:trHeight w:val="570"/>
        </w:trPr>
        <w:tc>
          <w:tcPr>
            <w:tcW w:w="3240" w:type="dxa"/>
            <w:tcBorders>
              <w:top w:val="nil"/>
              <w:left w:val="single" w:sz="4" w:space="0" w:color="auto"/>
              <w:bottom w:val="single" w:sz="4" w:space="0" w:color="auto"/>
              <w:right w:val="single" w:sz="4" w:space="0" w:color="auto"/>
            </w:tcBorders>
            <w:vAlign w:val="center"/>
          </w:tcPr>
          <w:p w:rsidR="00C0327D" w:rsidRDefault="00C0327D">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项目管理</w:t>
            </w:r>
          </w:p>
        </w:tc>
        <w:tc>
          <w:tcPr>
            <w:tcW w:w="2580" w:type="dxa"/>
            <w:tcBorders>
              <w:top w:val="nil"/>
              <w:left w:val="nil"/>
              <w:bottom w:val="single" w:sz="4" w:space="0" w:color="auto"/>
              <w:right w:val="single" w:sz="4" w:space="0" w:color="auto"/>
            </w:tcBorders>
            <w:vAlign w:val="center"/>
          </w:tcPr>
          <w:p w:rsidR="00C0327D" w:rsidRDefault="00C0327D">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25</w:t>
            </w:r>
          </w:p>
        </w:tc>
        <w:tc>
          <w:tcPr>
            <w:tcW w:w="2580" w:type="dxa"/>
            <w:tcBorders>
              <w:top w:val="nil"/>
              <w:left w:val="nil"/>
              <w:bottom w:val="single" w:sz="4" w:space="0" w:color="auto"/>
              <w:right w:val="single" w:sz="4" w:space="0" w:color="auto"/>
            </w:tcBorders>
            <w:vAlign w:val="center"/>
          </w:tcPr>
          <w:p w:rsidR="00C0327D" w:rsidRDefault="00C0327D">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21.53</w:t>
            </w:r>
          </w:p>
        </w:tc>
      </w:tr>
      <w:tr w:rsidR="00C0327D">
        <w:trPr>
          <w:trHeight w:val="570"/>
        </w:trPr>
        <w:tc>
          <w:tcPr>
            <w:tcW w:w="3240" w:type="dxa"/>
            <w:tcBorders>
              <w:top w:val="nil"/>
              <w:left w:val="single" w:sz="4" w:space="0" w:color="auto"/>
              <w:bottom w:val="single" w:sz="4" w:space="0" w:color="auto"/>
              <w:right w:val="single" w:sz="4" w:space="0" w:color="auto"/>
            </w:tcBorders>
            <w:vAlign w:val="center"/>
          </w:tcPr>
          <w:p w:rsidR="00C0327D" w:rsidRDefault="00C0327D">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项目产出</w:t>
            </w:r>
          </w:p>
        </w:tc>
        <w:tc>
          <w:tcPr>
            <w:tcW w:w="2580" w:type="dxa"/>
            <w:tcBorders>
              <w:top w:val="nil"/>
              <w:left w:val="nil"/>
              <w:bottom w:val="single" w:sz="4" w:space="0" w:color="auto"/>
              <w:right w:val="single" w:sz="4" w:space="0" w:color="auto"/>
            </w:tcBorders>
            <w:vAlign w:val="center"/>
          </w:tcPr>
          <w:p w:rsidR="00C0327D" w:rsidRDefault="00C0327D">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30</w:t>
            </w:r>
          </w:p>
        </w:tc>
        <w:tc>
          <w:tcPr>
            <w:tcW w:w="2580" w:type="dxa"/>
            <w:tcBorders>
              <w:top w:val="nil"/>
              <w:left w:val="nil"/>
              <w:bottom w:val="single" w:sz="4" w:space="0" w:color="auto"/>
              <w:right w:val="single" w:sz="4" w:space="0" w:color="auto"/>
            </w:tcBorders>
            <w:vAlign w:val="center"/>
          </w:tcPr>
          <w:p w:rsidR="00C0327D" w:rsidRDefault="00C0327D">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27.96</w:t>
            </w:r>
          </w:p>
        </w:tc>
      </w:tr>
      <w:tr w:rsidR="00C0327D">
        <w:trPr>
          <w:trHeight w:val="570"/>
        </w:trPr>
        <w:tc>
          <w:tcPr>
            <w:tcW w:w="3240" w:type="dxa"/>
            <w:tcBorders>
              <w:top w:val="nil"/>
              <w:left w:val="single" w:sz="4" w:space="0" w:color="auto"/>
              <w:bottom w:val="single" w:sz="4" w:space="0" w:color="auto"/>
              <w:right w:val="single" w:sz="4" w:space="0" w:color="auto"/>
            </w:tcBorders>
            <w:vAlign w:val="center"/>
          </w:tcPr>
          <w:p w:rsidR="00C0327D" w:rsidRDefault="00C0327D">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项目绩效</w:t>
            </w:r>
          </w:p>
        </w:tc>
        <w:tc>
          <w:tcPr>
            <w:tcW w:w="2580" w:type="dxa"/>
            <w:tcBorders>
              <w:top w:val="nil"/>
              <w:left w:val="nil"/>
              <w:bottom w:val="single" w:sz="4" w:space="0" w:color="auto"/>
              <w:right w:val="single" w:sz="4" w:space="0" w:color="auto"/>
            </w:tcBorders>
            <w:vAlign w:val="center"/>
          </w:tcPr>
          <w:p w:rsidR="00C0327D" w:rsidRDefault="00C0327D">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30</w:t>
            </w:r>
          </w:p>
        </w:tc>
        <w:tc>
          <w:tcPr>
            <w:tcW w:w="2580" w:type="dxa"/>
            <w:tcBorders>
              <w:top w:val="nil"/>
              <w:left w:val="nil"/>
              <w:bottom w:val="single" w:sz="4" w:space="0" w:color="auto"/>
              <w:right w:val="single" w:sz="4" w:space="0" w:color="auto"/>
            </w:tcBorders>
            <w:vAlign w:val="center"/>
          </w:tcPr>
          <w:p w:rsidR="00C0327D" w:rsidRDefault="00C0327D">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27.50</w:t>
            </w:r>
          </w:p>
        </w:tc>
      </w:tr>
      <w:tr w:rsidR="00C0327D">
        <w:trPr>
          <w:trHeight w:val="570"/>
        </w:trPr>
        <w:tc>
          <w:tcPr>
            <w:tcW w:w="3240" w:type="dxa"/>
            <w:tcBorders>
              <w:top w:val="nil"/>
              <w:left w:val="single" w:sz="4" w:space="0" w:color="auto"/>
              <w:bottom w:val="single" w:sz="4" w:space="0" w:color="auto"/>
              <w:right w:val="single" w:sz="4" w:space="0" w:color="auto"/>
            </w:tcBorders>
            <w:vAlign w:val="center"/>
          </w:tcPr>
          <w:p w:rsidR="00C0327D" w:rsidRDefault="00C0327D">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综合得分</w:t>
            </w:r>
          </w:p>
        </w:tc>
        <w:tc>
          <w:tcPr>
            <w:tcW w:w="2580" w:type="dxa"/>
            <w:tcBorders>
              <w:top w:val="nil"/>
              <w:left w:val="nil"/>
              <w:bottom w:val="single" w:sz="4" w:space="0" w:color="auto"/>
              <w:right w:val="single" w:sz="4" w:space="0" w:color="auto"/>
            </w:tcBorders>
            <w:vAlign w:val="center"/>
          </w:tcPr>
          <w:p w:rsidR="00C0327D" w:rsidRDefault="00C0327D">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100</w:t>
            </w:r>
          </w:p>
        </w:tc>
        <w:tc>
          <w:tcPr>
            <w:tcW w:w="2580" w:type="dxa"/>
            <w:tcBorders>
              <w:top w:val="nil"/>
              <w:left w:val="nil"/>
              <w:bottom w:val="single" w:sz="4" w:space="0" w:color="auto"/>
              <w:right w:val="single" w:sz="4" w:space="0" w:color="auto"/>
            </w:tcBorders>
            <w:vAlign w:val="center"/>
          </w:tcPr>
          <w:p w:rsidR="00C0327D" w:rsidRDefault="00C0327D">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90.09</w:t>
            </w:r>
          </w:p>
        </w:tc>
      </w:tr>
      <w:tr w:rsidR="00C0327D">
        <w:trPr>
          <w:trHeight w:val="570"/>
        </w:trPr>
        <w:tc>
          <w:tcPr>
            <w:tcW w:w="3240" w:type="dxa"/>
            <w:tcBorders>
              <w:top w:val="nil"/>
              <w:left w:val="single" w:sz="4" w:space="0" w:color="auto"/>
              <w:bottom w:val="single" w:sz="4" w:space="0" w:color="auto"/>
              <w:right w:val="single" w:sz="4" w:space="0" w:color="auto"/>
            </w:tcBorders>
            <w:vAlign w:val="center"/>
          </w:tcPr>
          <w:p w:rsidR="00C0327D" w:rsidRDefault="00C0327D">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绩效评定级别</w:t>
            </w:r>
          </w:p>
        </w:tc>
        <w:tc>
          <w:tcPr>
            <w:tcW w:w="5160" w:type="dxa"/>
            <w:gridSpan w:val="2"/>
            <w:tcBorders>
              <w:top w:val="single" w:sz="4" w:space="0" w:color="auto"/>
              <w:left w:val="nil"/>
              <w:bottom w:val="single" w:sz="4" w:space="0" w:color="auto"/>
              <w:right w:val="single" w:sz="4" w:space="0" w:color="auto"/>
            </w:tcBorders>
            <w:vAlign w:val="center"/>
          </w:tcPr>
          <w:p w:rsidR="00C0327D" w:rsidRDefault="00C0327D">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优秀</w:t>
            </w:r>
          </w:p>
        </w:tc>
      </w:tr>
    </w:tbl>
    <w:p w:rsidR="00C0327D" w:rsidRPr="00C64930" w:rsidRDefault="00C0327D" w:rsidP="00084E6F">
      <w:pPr>
        <w:pStyle w:val="1"/>
        <w:spacing w:beforeLines="50" w:afterLines="50"/>
        <w:ind w:left="0" w:firstLine="562"/>
        <w:jc w:val="left"/>
        <w:rPr>
          <w:rFonts w:ascii="仿宋" w:eastAsia="仿宋" w:hAnsi="仿宋"/>
          <w:color w:val="000000"/>
          <w:sz w:val="28"/>
          <w:szCs w:val="28"/>
        </w:rPr>
      </w:pPr>
      <w:bookmarkStart w:id="9" w:name="_Toc72500598"/>
      <w:r w:rsidRPr="00C64930">
        <w:rPr>
          <w:rFonts w:ascii="仿宋" w:eastAsia="仿宋" w:hAnsi="仿宋" w:hint="eastAsia"/>
          <w:color w:val="000000"/>
          <w:sz w:val="28"/>
          <w:szCs w:val="28"/>
        </w:rPr>
        <w:t>四、绩效评价指标分析</w:t>
      </w:r>
      <w:bookmarkEnd w:id="9"/>
    </w:p>
    <w:p w:rsidR="00C0327D" w:rsidRPr="00C64930" w:rsidRDefault="00C0327D" w:rsidP="00084E6F">
      <w:pPr>
        <w:pStyle w:val="2"/>
        <w:spacing w:beforeLines="50" w:afterLines="50" w:line="360" w:lineRule="auto"/>
        <w:ind w:firstLineChars="200" w:firstLine="562"/>
        <w:rPr>
          <w:rFonts w:ascii="仿宋" w:eastAsia="仿宋" w:hAnsi="仿宋"/>
          <w:sz w:val="28"/>
          <w:szCs w:val="28"/>
        </w:rPr>
      </w:pPr>
      <w:bookmarkStart w:id="10" w:name="_Toc72500599"/>
      <w:r w:rsidRPr="00C64930">
        <w:rPr>
          <w:rFonts w:ascii="仿宋" w:eastAsia="仿宋" w:hAnsi="仿宋" w:hint="eastAsia"/>
          <w:sz w:val="28"/>
          <w:szCs w:val="28"/>
        </w:rPr>
        <w:t>（一）项目决策情况</w:t>
      </w:r>
      <w:bookmarkEnd w:id="10"/>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1、项目立项</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2018年6月4日，原市食药局第20次党组会审议通过了食安中心“食品检验检测仪器设备配置项目”、“国家中心（海淀工作区）实验室改造项目”、“信息化建设”和“科研课题”等四个北京冬奥</w:t>
      </w:r>
      <w:r w:rsidRPr="0077616C">
        <w:rPr>
          <w:rFonts w:ascii="仿宋" w:eastAsia="仿宋" w:hAnsi="仿宋" w:hint="eastAsia"/>
          <w:color w:val="000000"/>
          <w:sz w:val="28"/>
          <w:szCs w:val="28"/>
        </w:rPr>
        <w:lastRenderedPageBreak/>
        <w:t>会食品安全技术保障工作需求项目。</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2019年6月4日北京市市场监管局第21次局党组会议审议通过2022年冬奥会和冬残奥会食品安全保障检验检测仪器设备配置项目实施方案。</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2、绩效目标</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完成626台套光谱、色谱、质谱、微生物检验设备、分子生物检验设备的采购以及到货验收、安装调试和使用工作。开展冬奥会和冬残奥会供应食品抽检监测常规项目检验技术培训，启动食源性兴奋剂和有毒有害物质检验方法研究，提高现有仪器设备通量改善设备老化更新问题,保障冬奥会和冬残奥会食品安全保障工作顺利开展。</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一是产出数量：购置仪器设备626台；</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二是产出质量：验收合格率大于等于95%；</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三是产出进度：2020年10月所购设备到货率完成总进度的100%，设备安装调试完成总进度的50%；2020年11月所购设备安装调试率完成总进度的80%；2020年12月完成所有采购设备的到货验收、安装调试和尾款支付工作；</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四</w:t>
      </w:r>
      <w:r w:rsidRPr="0077616C">
        <w:rPr>
          <w:rFonts w:ascii="仿宋" w:eastAsia="仿宋" w:hAnsi="仿宋"/>
          <w:color w:val="000000"/>
          <w:sz w:val="28"/>
          <w:szCs w:val="28"/>
        </w:rPr>
        <w:t>是产出</w:t>
      </w:r>
      <w:r w:rsidRPr="0077616C">
        <w:rPr>
          <w:rFonts w:ascii="仿宋" w:eastAsia="仿宋" w:hAnsi="仿宋" w:hint="eastAsia"/>
          <w:color w:val="000000"/>
          <w:sz w:val="28"/>
          <w:szCs w:val="28"/>
        </w:rPr>
        <w:t>成本：项目预算总额1659.1166万元，其中财政拨款1351.251元、自筹资金307.8656元；</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五</w:t>
      </w:r>
      <w:r w:rsidRPr="0077616C">
        <w:rPr>
          <w:rFonts w:ascii="仿宋" w:eastAsia="仿宋" w:hAnsi="仿宋"/>
          <w:color w:val="000000"/>
          <w:sz w:val="28"/>
          <w:szCs w:val="28"/>
        </w:rPr>
        <w:t>是</w:t>
      </w:r>
      <w:r w:rsidRPr="0077616C">
        <w:rPr>
          <w:rFonts w:ascii="仿宋" w:eastAsia="仿宋" w:hAnsi="仿宋" w:hint="eastAsia"/>
          <w:color w:val="000000"/>
          <w:sz w:val="28"/>
          <w:szCs w:val="28"/>
        </w:rPr>
        <w:t>效益：（1）投入使用率达到80%，满足冬奥食源性兴奋剂检测服务技术需求，提升首都食品安全技术职称保障能力，满足冬奥会供应食品监管需求，确保冬奥会、冬残奥会供赛食品安全；（2）提高日常抽检监测的工作效率，提升首都乃至全国的食品安全日常监督和</w:t>
      </w:r>
      <w:r w:rsidRPr="0077616C">
        <w:rPr>
          <w:rFonts w:ascii="仿宋" w:eastAsia="仿宋" w:hAnsi="仿宋" w:hint="eastAsia"/>
          <w:color w:val="000000"/>
          <w:sz w:val="28"/>
          <w:szCs w:val="28"/>
        </w:rPr>
        <w:lastRenderedPageBreak/>
        <w:t>食品安全突发事件应急检验能力；（3）进一步加强食品中未知物质和有毒有害物质筛查鉴定技术能力建设，提升大型活动食品安全技术保障能力，完善首都食品安全风险监测体系，为政府科学决策提供有力的技术支撑；</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六</w:t>
      </w:r>
      <w:r w:rsidRPr="0077616C">
        <w:rPr>
          <w:rFonts w:ascii="仿宋" w:eastAsia="仿宋" w:hAnsi="仿宋"/>
          <w:color w:val="000000"/>
          <w:sz w:val="28"/>
          <w:szCs w:val="28"/>
        </w:rPr>
        <w:t>是</w:t>
      </w:r>
      <w:r w:rsidRPr="0077616C">
        <w:rPr>
          <w:rFonts w:ascii="仿宋" w:eastAsia="仿宋" w:hAnsi="仿宋" w:hint="eastAsia"/>
          <w:color w:val="000000"/>
          <w:sz w:val="28"/>
          <w:szCs w:val="28"/>
        </w:rPr>
        <w:t>服务对象满意度：购置设备符合使用人员需求，满意度≥95%。</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项目绩效目标较为合理、明确，可衡量及评价。</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3、资金投入</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2022年冬奥会和冬残奥会食品安全保障检验检测仪器设备购置项目2020年共投入项目资金</w:t>
      </w:r>
      <w:r w:rsidRPr="0077616C">
        <w:rPr>
          <w:rFonts w:ascii="仿宋" w:eastAsia="仿宋" w:hAnsi="仿宋"/>
          <w:color w:val="000000"/>
          <w:sz w:val="28"/>
          <w:szCs w:val="28"/>
        </w:rPr>
        <w:t>1659.1166</w:t>
      </w:r>
      <w:r w:rsidRPr="0077616C">
        <w:rPr>
          <w:rFonts w:ascii="仿宋" w:eastAsia="仿宋" w:hAnsi="仿宋" w:hint="eastAsia"/>
          <w:color w:val="000000"/>
          <w:sz w:val="28"/>
          <w:szCs w:val="28"/>
        </w:rPr>
        <w:t>万元，</w:t>
      </w:r>
      <w:r w:rsidRPr="0077616C">
        <w:rPr>
          <w:rFonts w:ascii="仿宋" w:eastAsia="仿宋" w:hAnsi="仿宋"/>
          <w:color w:val="000000"/>
          <w:sz w:val="28"/>
          <w:szCs w:val="28"/>
        </w:rPr>
        <w:t>用于</w:t>
      </w:r>
      <w:r w:rsidRPr="0077616C">
        <w:rPr>
          <w:rFonts w:ascii="仿宋" w:eastAsia="仿宋" w:hAnsi="仿宋" w:hint="eastAsia"/>
          <w:color w:val="000000"/>
          <w:sz w:val="28"/>
          <w:szCs w:val="28"/>
        </w:rPr>
        <w:t>本项目尾款支付</w:t>
      </w:r>
      <w:r w:rsidRPr="0077616C">
        <w:rPr>
          <w:rFonts w:ascii="仿宋" w:eastAsia="仿宋" w:hAnsi="仿宋"/>
          <w:color w:val="000000"/>
          <w:sz w:val="28"/>
          <w:szCs w:val="28"/>
        </w:rPr>
        <w:t>。</w:t>
      </w:r>
    </w:p>
    <w:p w:rsidR="00C0327D" w:rsidRPr="00C64930" w:rsidRDefault="00C0327D" w:rsidP="00084E6F">
      <w:pPr>
        <w:pStyle w:val="2"/>
        <w:spacing w:beforeLines="50" w:afterLines="50" w:line="360" w:lineRule="auto"/>
        <w:ind w:firstLineChars="200" w:firstLine="562"/>
        <w:rPr>
          <w:rFonts w:ascii="仿宋" w:eastAsia="仿宋" w:hAnsi="仿宋"/>
          <w:sz w:val="28"/>
          <w:szCs w:val="28"/>
        </w:rPr>
      </w:pPr>
      <w:bookmarkStart w:id="11" w:name="_Toc72500600"/>
      <w:r w:rsidRPr="00C64930">
        <w:rPr>
          <w:rFonts w:ascii="仿宋" w:eastAsia="仿宋" w:hAnsi="仿宋" w:hint="eastAsia"/>
          <w:sz w:val="28"/>
          <w:szCs w:val="28"/>
        </w:rPr>
        <w:t>（二）项目过程情况</w:t>
      </w:r>
      <w:bookmarkEnd w:id="11"/>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1、资金管理</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项目执行过程中，食安中心不断加强内控制度管理，围绕项目资金管理和项目的顺利实施，建立并执行了《“三重一大”决策实施细则》、《北京市食品安全监控和风险评估中心党总支工作规则》、《财务管理办法》、《大额资金支付管理办法》、《采购管理办法》以及《固定资产管理办法》等管理制度，并根据市局相关管理办法的要求进行及时修订完善。项目资金能够做到专账核算，专款专用。资金使用能够严格按照相关内控管理制度执行</w:t>
      </w:r>
      <w:r w:rsidRPr="0077616C">
        <w:rPr>
          <w:rFonts w:ascii="仿宋" w:eastAsia="仿宋" w:hAnsi="仿宋"/>
          <w:color w:val="000000"/>
          <w:sz w:val="28"/>
          <w:szCs w:val="28"/>
        </w:rPr>
        <w:t>，</w:t>
      </w:r>
      <w:r w:rsidRPr="0077616C">
        <w:rPr>
          <w:rFonts w:ascii="仿宋" w:eastAsia="仿宋" w:hAnsi="仿宋" w:hint="eastAsia"/>
          <w:color w:val="000000"/>
          <w:sz w:val="28"/>
          <w:szCs w:val="28"/>
        </w:rPr>
        <w:t>单笔超过50万</w:t>
      </w:r>
      <w:r w:rsidRPr="0077616C">
        <w:rPr>
          <w:rFonts w:ascii="仿宋" w:eastAsia="仿宋" w:hAnsi="仿宋"/>
          <w:color w:val="000000"/>
          <w:sz w:val="28"/>
          <w:szCs w:val="28"/>
        </w:rPr>
        <w:t>（</w:t>
      </w:r>
      <w:r w:rsidRPr="0077616C">
        <w:rPr>
          <w:rFonts w:ascii="仿宋" w:eastAsia="仿宋" w:hAnsi="仿宋" w:hint="eastAsia"/>
          <w:color w:val="000000"/>
          <w:sz w:val="28"/>
          <w:szCs w:val="28"/>
        </w:rPr>
        <w:t>含</w:t>
      </w:r>
      <w:r w:rsidRPr="0077616C">
        <w:rPr>
          <w:rFonts w:ascii="仿宋" w:eastAsia="仿宋" w:hAnsi="仿宋"/>
          <w:color w:val="000000"/>
          <w:sz w:val="28"/>
          <w:szCs w:val="28"/>
        </w:rPr>
        <w:t>）</w:t>
      </w:r>
      <w:r w:rsidRPr="0077616C">
        <w:rPr>
          <w:rFonts w:ascii="仿宋" w:eastAsia="仿宋" w:hAnsi="仿宋" w:hint="eastAsia"/>
          <w:color w:val="000000"/>
          <w:sz w:val="28"/>
          <w:szCs w:val="28"/>
        </w:rPr>
        <w:t>以上</w:t>
      </w:r>
      <w:r w:rsidRPr="0077616C">
        <w:rPr>
          <w:rFonts w:ascii="仿宋" w:eastAsia="仿宋" w:hAnsi="仿宋"/>
          <w:color w:val="000000"/>
          <w:sz w:val="28"/>
          <w:szCs w:val="28"/>
        </w:rPr>
        <w:t>的支出事项</w:t>
      </w:r>
      <w:r w:rsidRPr="0077616C">
        <w:rPr>
          <w:rFonts w:ascii="仿宋" w:eastAsia="仿宋" w:hAnsi="仿宋" w:hint="eastAsia"/>
          <w:color w:val="000000"/>
          <w:sz w:val="28"/>
          <w:szCs w:val="28"/>
        </w:rPr>
        <w:t>严格</w:t>
      </w:r>
      <w:r w:rsidRPr="0077616C">
        <w:rPr>
          <w:rFonts w:ascii="仿宋" w:eastAsia="仿宋" w:hAnsi="仿宋"/>
          <w:color w:val="000000"/>
          <w:sz w:val="28"/>
          <w:szCs w:val="28"/>
        </w:rPr>
        <w:t>上</w:t>
      </w:r>
      <w:r w:rsidRPr="0077616C">
        <w:rPr>
          <w:rFonts w:ascii="仿宋" w:eastAsia="仿宋" w:hAnsi="仿宋" w:hint="eastAsia"/>
          <w:color w:val="000000"/>
          <w:sz w:val="28"/>
          <w:szCs w:val="28"/>
        </w:rPr>
        <w:t>中心</w:t>
      </w:r>
      <w:r w:rsidRPr="0077616C">
        <w:rPr>
          <w:rFonts w:ascii="仿宋" w:eastAsia="仿宋" w:hAnsi="仿宋"/>
          <w:color w:val="000000"/>
          <w:sz w:val="28"/>
          <w:szCs w:val="28"/>
        </w:rPr>
        <w:t>党总支会审议</w:t>
      </w:r>
      <w:r w:rsidRPr="0077616C">
        <w:rPr>
          <w:rFonts w:ascii="仿宋" w:eastAsia="仿宋" w:hAnsi="仿宋" w:hint="eastAsia"/>
          <w:color w:val="000000"/>
          <w:sz w:val="28"/>
          <w:szCs w:val="28"/>
        </w:rPr>
        <w:t>；单项或</w:t>
      </w:r>
      <w:r w:rsidRPr="0077616C">
        <w:rPr>
          <w:rFonts w:ascii="仿宋" w:eastAsia="仿宋" w:hAnsi="仿宋"/>
          <w:color w:val="000000"/>
          <w:sz w:val="28"/>
          <w:szCs w:val="28"/>
        </w:rPr>
        <w:t>批量金额</w:t>
      </w:r>
      <w:r w:rsidRPr="0077616C">
        <w:rPr>
          <w:rFonts w:ascii="仿宋" w:eastAsia="仿宋" w:hAnsi="仿宋" w:hint="eastAsia"/>
          <w:color w:val="000000"/>
          <w:sz w:val="28"/>
          <w:szCs w:val="28"/>
        </w:rPr>
        <w:t>100万</w:t>
      </w:r>
      <w:r w:rsidRPr="0077616C">
        <w:rPr>
          <w:rFonts w:ascii="仿宋" w:eastAsia="仿宋" w:hAnsi="仿宋"/>
          <w:color w:val="000000"/>
          <w:sz w:val="28"/>
          <w:szCs w:val="28"/>
        </w:rPr>
        <w:t>元以上（</w:t>
      </w:r>
      <w:r w:rsidRPr="0077616C">
        <w:rPr>
          <w:rFonts w:ascii="仿宋" w:eastAsia="仿宋" w:hAnsi="仿宋" w:hint="eastAsia"/>
          <w:color w:val="000000"/>
          <w:sz w:val="28"/>
          <w:szCs w:val="28"/>
        </w:rPr>
        <w:t>含100万元</w:t>
      </w:r>
      <w:r w:rsidRPr="0077616C">
        <w:rPr>
          <w:rFonts w:ascii="仿宋" w:eastAsia="仿宋" w:hAnsi="仿宋"/>
          <w:color w:val="000000"/>
          <w:sz w:val="28"/>
          <w:szCs w:val="28"/>
        </w:rPr>
        <w:t>）</w:t>
      </w:r>
      <w:r w:rsidRPr="0077616C">
        <w:rPr>
          <w:rFonts w:ascii="仿宋" w:eastAsia="仿宋" w:hAnsi="仿宋" w:hint="eastAsia"/>
          <w:color w:val="000000"/>
          <w:sz w:val="28"/>
          <w:szCs w:val="28"/>
        </w:rPr>
        <w:t>，400万元</w:t>
      </w:r>
      <w:r w:rsidRPr="0077616C">
        <w:rPr>
          <w:rFonts w:ascii="仿宋" w:eastAsia="仿宋" w:hAnsi="仿宋"/>
          <w:color w:val="000000"/>
          <w:sz w:val="28"/>
          <w:szCs w:val="28"/>
        </w:rPr>
        <w:t>以下的采购事项，</w:t>
      </w:r>
      <w:r w:rsidRPr="0077616C">
        <w:rPr>
          <w:rFonts w:ascii="仿宋" w:eastAsia="仿宋" w:hAnsi="仿宋" w:hint="eastAsia"/>
          <w:color w:val="000000"/>
          <w:sz w:val="28"/>
          <w:szCs w:val="28"/>
        </w:rPr>
        <w:t>经中心党总支审议通过后</w:t>
      </w:r>
      <w:r w:rsidRPr="0077616C">
        <w:rPr>
          <w:rFonts w:ascii="仿宋" w:eastAsia="仿宋" w:hAnsi="仿宋"/>
          <w:color w:val="000000"/>
          <w:sz w:val="28"/>
          <w:szCs w:val="28"/>
        </w:rPr>
        <w:t>报送市局主管领导审批；</w:t>
      </w:r>
      <w:r w:rsidRPr="0077616C">
        <w:rPr>
          <w:rFonts w:ascii="仿宋" w:eastAsia="仿宋" w:hAnsi="仿宋" w:hint="eastAsia"/>
          <w:color w:val="000000"/>
          <w:sz w:val="28"/>
          <w:szCs w:val="28"/>
        </w:rPr>
        <w:t>单项</w:t>
      </w:r>
      <w:r w:rsidRPr="0077616C">
        <w:rPr>
          <w:rFonts w:ascii="仿宋" w:eastAsia="仿宋" w:hAnsi="仿宋"/>
          <w:color w:val="000000"/>
          <w:sz w:val="28"/>
          <w:szCs w:val="28"/>
        </w:rPr>
        <w:t>或批量</w:t>
      </w:r>
      <w:r w:rsidRPr="0077616C">
        <w:rPr>
          <w:rFonts w:ascii="仿宋" w:eastAsia="仿宋" w:hAnsi="仿宋" w:hint="eastAsia"/>
          <w:color w:val="000000"/>
          <w:sz w:val="28"/>
          <w:szCs w:val="28"/>
        </w:rPr>
        <w:t>400万元</w:t>
      </w:r>
      <w:r w:rsidRPr="0077616C">
        <w:rPr>
          <w:rFonts w:ascii="仿宋" w:eastAsia="仿宋" w:hAnsi="仿宋"/>
          <w:color w:val="000000"/>
          <w:sz w:val="28"/>
          <w:szCs w:val="28"/>
        </w:rPr>
        <w:t>以</w:t>
      </w:r>
      <w:r w:rsidRPr="0077616C">
        <w:rPr>
          <w:rFonts w:ascii="仿宋" w:eastAsia="仿宋" w:hAnsi="仿宋" w:hint="eastAsia"/>
          <w:color w:val="000000"/>
          <w:sz w:val="28"/>
          <w:szCs w:val="28"/>
        </w:rPr>
        <w:t>上（含400万元）</w:t>
      </w:r>
      <w:r w:rsidRPr="0077616C">
        <w:rPr>
          <w:rFonts w:ascii="仿宋" w:eastAsia="仿宋" w:hAnsi="仿宋"/>
          <w:color w:val="000000"/>
          <w:sz w:val="28"/>
          <w:szCs w:val="28"/>
        </w:rPr>
        <w:t>的采购事项，</w:t>
      </w:r>
      <w:r w:rsidRPr="0077616C">
        <w:rPr>
          <w:rFonts w:ascii="仿宋" w:eastAsia="仿宋" w:hAnsi="仿宋" w:hint="eastAsia"/>
          <w:color w:val="000000"/>
          <w:sz w:val="28"/>
          <w:szCs w:val="28"/>
        </w:rPr>
        <w:t>经中心党总支审议通过后</w:t>
      </w:r>
      <w:r w:rsidRPr="0077616C">
        <w:rPr>
          <w:rFonts w:ascii="仿宋" w:eastAsia="仿宋" w:hAnsi="仿宋"/>
          <w:color w:val="000000"/>
          <w:sz w:val="28"/>
          <w:szCs w:val="28"/>
        </w:rPr>
        <w:t>报送市局主管领导审批</w:t>
      </w:r>
      <w:r w:rsidRPr="0077616C">
        <w:rPr>
          <w:rFonts w:ascii="仿宋" w:eastAsia="仿宋" w:hAnsi="仿宋" w:hint="eastAsia"/>
          <w:color w:val="000000"/>
          <w:sz w:val="28"/>
          <w:szCs w:val="28"/>
        </w:rPr>
        <w:t>并报</w:t>
      </w:r>
      <w:r w:rsidRPr="0077616C">
        <w:rPr>
          <w:rFonts w:ascii="仿宋" w:eastAsia="仿宋" w:hAnsi="仿宋"/>
          <w:color w:val="000000"/>
          <w:sz w:val="28"/>
          <w:szCs w:val="28"/>
        </w:rPr>
        <w:t>市局局长</w:t>
      </w:r>
      <w:r w:rsidRPr="0077616C">
        <w:rPr>
          <w:rFonts w:ascii="仿宋" w:eastAsia="仿宋" w:hAnsi="仿宋"/>
          <w:color w:val="000000"/>
          <w:sz w:val="28"/>
          <w:szCs w:val="28"/>
        </w:rPr>
        <w:lastRenderedPageBreak/>
        <w:t>办公会审议。</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2、组织实施</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项目采取公开招标的方式进行采购，委托市局遴选入围的2018-2019年政府采购招标代理机构北京汇成金桥国际招标</w:t>
      </w:r>
      <w:r w:rsidRPr="0077616C">
        <w:rPr>
          <w:rFonts w:ascii="仿宋" w:eastAsia="仿宋" w:hAnsi="仿宋"/>
          <w:color w:val="000000"/>
          <w:sz w:val="28"/>
          <w:szCs w:val="28"/>
        </w:rPr>
        <w:t>有限公司</w:t>
      </w:r>
      <w:r w:rsidRPr="0077616C">
        <w:rPr>
          <w:rFonts w:ascii="仿宋" w:eastAsia="仿宋" w:hAnsi="仿宋" w:hint="eastAsia"/>
          <w:color w:val="000000"/>
          <w:sz w:val="28"/>
          <w:szCs w:val="28"/>
        </w:rPr>
        <w:t>、中经国际招标集团有限公司、中招国际招标有限公司等三家共同承担招标代理工作。招标程序、评标过程及结果均按照相关法律法规履行。</w:t>
      </w:r>
    </w:p>
    <w:p w:rsidR="00C0327D" w:rsidRPr="0077616C" w:rsidRDefault="00C0327D" w:rsidP="0077616C">
      <w:pPr>
        <w:spacing w:line="360" w:lineRule="auto"/>
        <w:ind w:firstLineChars="200" w:firstLine="560"/>
        <w:rPr>
          <w:rFonts w:ascii="仿宋" w:eastAsia="仿宋" w:hAnsi="仿宋"/>
          <w:color w:val="000000"/>
          <w:sz w:val="28"/>
          <w:szCs w:val="28"/>
        </w:rPr>
      </w:pPr>
      <w:r w:rsidRPr="00C0327D">
        <w:rPr>
          <w:rFonts w:ascii="仿宋" w:eastAsia="仿宋" w:hAnsi="仿宋" w:hint="eastAsia"/>
          <w:color w:val="000000"/>
          <w:sz w:val="28"/>
          <w:szCs w:val="28"/>
        </w:rPr>
        <w:t>本项目按照合同约定签订后10个工作日内，卖方提交合同金额10%的履约保证金(以银行履约保函形式)，买方在收到履约保证金后向卖方支付合同金额的60%作为首付款，待设备送货安装调试完成，且经买方最终验收合格后买方向卖方支付合同金额的40%。如卖方无任何违约和质量问题产生，履约保证金转为质量保证金，质量保证期1年后无息退回的支付方式进行支付。2020年底全部设备到货验收安装调试后完成尾款支付工作。</w:t>
      </w:r>
    </w:p>
    <w:p w:rsidR="00C0327D" w:rsidRPr="00C64930" w:rsidRDefault="00C64930" w:rsidP="00084E6F">
      <w:pPr>
        <w:pStyle w:val="2"/>
        <w:spacing w:beforeLines="50" w:afterLines="50" w:line="360" w:lineRule="auto"/>
        <w:ind w:firstLineChars="200" w:firstLine="562"/>
        <w:rPr>
          <w:rFonts w:ascii="仿宋" w:eastAsia="仿宋" w:hAnsi="仿宋"/>
          <w:sz w:val="28"/>
          <w:szCs w:val="28"/>
        </w:rPr>
      </w:pPr>
      <w:bookmarkStart w:id="12" w:name="_Toc72500601"/>
      <w:r>
        <w:rPr>
          <w:rFonts w:ascii="仿宋" w:eastAsia="仿宋" w:hAnsi="仿宋" w:hint="eastAsia"/>
          <w:sz w:val="28"/>
          <w:szCs w:val="28"/>
        </w:rPr>
        <w:t>（三）</w:t>
      </w:r>
      <w:r w:rsidR="00C0327D" w:rsidRPr="00C64930">
        <w:rPr>
          <w:rFonts w:ascii="仿宋" w:eastAsia="仿宋" w:hAnsi="仿宋" w:hint="eastAsia"/>
          <w:sz w:val="28"/>
          <w:szCs w:val="28"/>
        </w:rPr>
        <w:t>项目产出情况</w:t>
      </w:r>
      <w:bookmarkEnd w:id="12"/>
    </w:p>
    <w:p w:rsidR="00C0327D" w:rsidRPr="0077616C" w:rsidRDefault="002343CE"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1、</w:t>
      </w:r>
      <w:r w:rsidR="00C0327D" w:rsidRPr="0077616C">
        <w:rPr>
          <w:rFonts w:ascii="仿宋" w:eastAsia="仿宋" w:hAnsi="仿宋" w:hint="eastAsia"/>
          <w:color w:val="000000"/>
          <w:sz w:val="28"/>
          <w:szCs w:val="28"/>
        </w:rPr>
        <w:t>产出数量</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已采购626台套设备</w:t>
      </w:r>
      <w:r>
        <w:rPr>
          <w:rFonts w:ascii="仿宋" w:eastAsia="仿宋" w:hAnsi="仿宋" w:hint="eastAsia"/>
          <w:color w:val="000000"/>
          <w:sz w:val="28"/>
          <w:szCs w:val="28"/>
        </w:rPr>
        <w:t>，且</w:t>
      </w:r>
      <w:r w:rsidRPr="0077616C">
        <w:rPr>
          <w:rFonts w:ascii="仿宋" w:eastAsia="仿宋" w:hAnsi="仿宋" w:hint="eastAsia"/>
          <w:color w:val="000000"/>
          <w:sz w:val="28"/>
          <w:szCs w:val="28"/>
        </w:rPr>
        <w:t>已全部安装调试完成并投入使用。</w:t>
      </w:r>
    </w:p>
    <w:p w:rsidR="00C0327D" w:rsidRPr="0077616C" w:rsidRDefault="002343CE"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2、</w:t>
      </w:r>
      <w:r w:rsidR="00C0327D" w:rsidRPr="0077616C">
        <w:rPr>
          <w:rFonts w:ascii="仿宋" w:eastAsia="仿宋" w:hAnsi="仿宋" w:hint="eastAsia"/>
          <w:color w:val="000000"/>
          <w:sz w:val="28"/>
          <w:szCs w:val="28"/>
        </w:rPr>
        <w:t>产出质量</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验收合格率为100%。</w:t>
      </w:r>
    </w:p>
    <w:p w:rsidR="00C0327D" w:rsidRPr="0077616C" w:rsidRDefault="002343CE"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3、</w:t>
      </w:r>
      <w:r w:rsidR="00C0327D" w:rsidRPr="0077616C">
        <w:rPr>
          <w:rFonts w:ascii="仿宋" w:eastAsia="仿宋" w:hAnsi="仿宋" w:hint="eastAsia"/>
          <w:color w:val="000000"/>
          <w:sz w:val="28"/>
          <w:szCs w:val="28"/>
        </w:rPr>
        <w:t>产出进度</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截至2020年11月底，完成全部626台套仪器设备的到货验收、安装调试和尾款支付工作。</w:t>
      </w:r>
    </w:p>
    <w:p w:rsidR="00C0327D" w:rsidRPr="0077616C" w:rsidRDefault="002343CE"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4、</w:t>
      </w:r>
      <w:r w:rsidR="00C0327D" w:rsidRPr="0077616C">
        <w:rPr>
          <w:rFonts w:ascii="仿宋" w:eastAsia="仿宋" w:hAnsi="仿宋" w:hint="eastAsia"/>
          <w:color w:val="000000"/>
          <w:sz w:val="28"/>
          <w:szCs w:val="28"/>
        </w:rPr>
        <w:t>产出成本</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lastRenderedPageBreak/>
        <w:t>实际使用财政资金1351.251万元，全部用于设备购置尾款支付，资金缺口307.8656万元由自筹资金支出，共计</w:t>
      </w:r>
      <w:r w:rsidRPr="0077616C">
        <w:rPr>
          <w:rFonts w:ascii="仿宋" w:eastAsia="仿宋" w:hAnsi="仿宋"/>
          <w:color w:val="000000"/>
          <w:sz w:val="28"/>
          <w:szCs w:val="28"/>
        </w:rPr>
        <w:t>1659.1166</w:t>
      </w:r>
      <w:r w:rsidRPr="0077616C">
        <w:rPr>
          <w:rFonts w:ascii="仿宋" w:eastAsia="仿宋" w:hAnsi="仿宋" w:hint="eastAsia"/>
          <w:color w:val="000000"/>
          <w:sz w:val="28"/>
          <w:szCs w:val="28"/>
        </w:rPr>
        <w:t>万元。</w:t>
      </w:r>
      <w:r>
        <w:rPr>
          <w:rFonts w:ascii="仿宋" w:eastAsia="仿宋" w:hAnsi="仿宋" w:hint="eastAsia"/>
          <w:color w:val="000000"/>
          <w:sz w:val="28"/>
          <w:szCs w:val="28"/>
        </w:rPr>
        <w:t>项目资金</w:t>
      </w:r>
      <w:r w:rsidRPr="00C0327D">
        <w:rPr>
          <w:rFonts w:ascii="仿宋" w:eastAsia="仿宋" w:hAnsi="仿宋" w:hint="eastAsia"/>
          <w:color w:val="000000"/>
          <w:sz w:val="28"/>
          <w:szCs w:val="28"/>
        </w:rPr>
        <w:t>没有结余和超支。</w:t>
      </w:r>
    </w:p>
    <w:p w:rsidR="00C0327D" w:rsidRPr="00C64930" w:rsidRDefault="00C0327D" w:rsidP="00084E6F">
      <w:pPr>
        <w:pStyle w:val="2"/>
        <w:spacing w:beforeLines="50" w:afterLines="50" w:line="360" w:lineRule="auto"/>
        <w:ind w:firstLineChars="200" w:firstLine="562"/>
        <w:rPr>
          <w:rFonts w:ascii="仿宋" w:eastAsia="仿宋" w:hAnsi="仿宋"/>
          <w:sz w:val="28"/>
          <w:szCs w:val="28"/>
        </w:rPr>
      </w:pPr>
      <w:bookmarkStart w:id="13" w:name="_Toc72500602"/>
      <w:r w:rsidRPr="00C64930">
        <w:rPr>
          <w:rFonts w:ascii="仿宋" w:eastAsia="仿宋" w:hAnsi="仿宋" w:hint="eastAsia"/>
          <w:sz w:val="28"/>
          <w:szCs w:val="28"/>
        </w:rPr>
        <w:t>（四）项目效益情况</w:t>
      </w:r>
      <w:bookmarkEnd w:id="13"/>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1、社会效益</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项目的实施为食安</w:t>
      </w:r>
      <w:r w:rsidRPr="0077616C">
        <w:rPr>
          <w:rFonts w:ascii="仿宋" w:eastAsia="仿宋" w:hAnsi="仿宋"/>
          <w:color w:val="000000"/>
          <w:sz w:val="28"/>
          <w:szCs w:val="28"/>
        </w:rPr>
        <w:t>中心补充配备冬奥食品安全检测急需仪器设备，满足现有设备更新需求</w:t>
      </w:r>
      <w:r w:rsidRPr="0077616C">
        <w:rPr>
          <w:rFonts w:ascii="仿宋" w:eastAsia="仿宋" w:hAnsi="仿宋" w:hint="eastAsia"/>
          <w:color w:val="000000"/>
          <w:sz w:val="28"/>
          <w:szCs w:val="28"/>
        </w:rPr>
        <w:t>、奥运赛事食品安全保障通量需求以及奥运赛事食源性兴奋剂、化学性和生物性危害成分检测精度和灵敏度需求</w:t>
      </w:r>
      <w:r w:rsidRPr="0077616C">
        <w:rPr>
          <w:rFonts w:ascii="仿宋" w:eastAsia="仿宋" w:hAnsi="仿宋"/>
          <w:color w:val="000000"/>
          <w:sz w:val="28"/>
          <w:szCs w:val="28"/>
        </w:rPr>
        <w:t>，为冬奥食品安全服务保障工作提供基础的设备支撑条件。</w:t>
      </w:r>
    </w:p>
    <w:p w:rsidR="00C0327D" w:rsidRPr="0077616C" w:rsidRDefault="002343CE"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（1）</w:t>
      </w:r>
      <w:r w:rsidR="00C0327D" w:rsidRPr="0077616C">
        <w:rPr>
          <w:rFonts w:ascii="仿宋" w:eastAsia="仿宋" w:hAnsi="仿宋" w:hint="eastAsia"/>
          <w:color w:val="000000"/>
          <w:sz w:val="28"/>
          <w:szCs w:val="28"/>
        </w:rPr>
        <w:t>冬奥会食品安全保障需要食品检验检测工作提供支撑。</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2022年冬奥会和冬残奥会期间，来自全球数十个国家的奥运代表、新闻媒体、各国游客和现场观众将汇聚在京冀两地。因此，冬奥会和冬残奥会供应食品安全问题不但成为成功举办体育盛会的重要物质保障，更涉及人身安全，影响着国际形象。加强检验检测设备配置，确保检验检测能力水平，满足检验检测通量要求将对实现冬奥会食品及时、安全供应，冬奥会食品安全“零风险”起到重要的支撑作用。</w:t>
      </w:r>
    </w:p>
    <w:p w:rsidR="00C0327D" w:rsidRPr="0077616C" w:rsidRDefault="002343CE"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（2）</w:t>
      </w:r>
      <w:r w:rsidR="00C0327D" w:rsidRPr="0077616C">
        <w:rPr>
          <w:rFonts w:ascii="仿宋" w:eastAsia="仿宋" w:hAnsi="仿宋" w:hint="eastAsia"/>
          <w:color w:val="000000"/>
          <w:sz w:val="28"/>
          <w:szCs w:val="28"/>
        </w:rPr>
        <w:t>加强中心仪器设备配置水平有助于满足冬奥会食品安全国际接轨需求。</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冬奥会是国际重大体育赛事，要求各项保障工作对标国际。更新一批先进且在检测领域应用成熟的分析仪器设备和前处理设备，满足食源性兴奋剂、违禁药物残留和污染物等检测高灵敏度和高精度的化学分析仪器，以及可进行快速食源性致病菌鉴定等生物检测仪器，有</w:t>
      </w:r>
      <w:r w:rsidRPr="0077616C">
        <w:rPr>
          <w:rFonts w:ascii="仿宋" w:eastAsia="仿宋" w:hAnsi="仿宋" w:hint="eastAsia"/>
          <w:color w:val="000000"/>
          <w:sz w:val="28"/>
          <w:szCs w:val="28"/>
        </w:rPr>
        <w:lastRenderedPageBreak/>
        <w:t>助于接轨国际现行食品检验检测标准，满足冬奥会和冬残奥会食品安全技术支撑需求。</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2、可持续影响</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color w:val="000000"/>
          <w:sz w:val="28"/>
          <w:szCs w:val="28"/>
        </w:rPr>
        <w:t>本项目所购置的仪器设备在完成2022年冬奥会和冬残奥会食品安全监控把关以及社会面保障之后，还将持续用于国家、北京市食品安全抽检监测工作以及全国两会等重大活动</w:t>
      </w:r>
      <w:r w:rsidRPr="0077616C">
        <w:rPr>
          <w:rFonts w:ascii="仿宋" w:eastAsia="仿宋" w:hAnsi="仿宋" w:hint="eastAsia"/>
          <w:color w:val="000000"/>
          <w:sz w:val="28"/>
          <w:szCs w:val="28"/>
        </w:rPr>
        <w:t>、重大赛事</w:t>
      </w:r>
      <w:r w:rsidRPr="0077616C">
        <w:rPr>
          <w:rFonts w:ascii="仿宋" w:eastAsia="仿宋" w:hAnsi="仿宋"/>
          <w:color w:val="000000"/>
          <w:sz w:val="28"/>
          <w:szCs w:val="28"/>
        </w:rPr>
        <w:t>食品安全</w:t>
      </w:r>
      <w:r w:rsidRPr="0077616C">
        <w:rPr>
          <w:rFonts w:ascii="仿宋" w:eastAsia="仿宋" w:hAnsi="仿宋" w:hint="eastAsia"/>
          <w:color w:val="000000"/>
          <w:sz w:val="28"/>
          <w:szCs w:val="28"/>
        </w:rPr>
        <w:t>技术</w:t>
      </w:r>
      <w:r w:rsidRPr="0077616C">
        <w:rPr>
          <w:rFonts w:ascii="仿宋" w:eastAsia="仿宋" w:hAnsi="仿宋"/>
          <w:color w:val="000000"/>
          <w:sz w:val="28"/>
          <w:szCs w:val="28"/>
        </w:rPr>
        <w:t>保障工作，</w:t>
      </w:r>
      <w:r w:rsidRPr="0077616C">
        <w:rPr>
          <w:rFonts w:ascii="仿宋" w:eastAsia="仿宋" w:hAnsi="仿宋" w:hint="eastAsia"/>
          <w:color w:val="000000"/>
          <w:sz w:val="28"/>
          <w:szCs w:val="28"/>
        </w:rPr>
        <w:t>以及危害物高分辨质谱全谱识别技术与多级质谱数据库构建及</w:t>
      </w:r>
      <w:r w:rsidRPr="0077616C">
        <w:rPr>
          <w:rFonts w:ascii="仿宋" w:eastAsia="仿宋" w:hAnsi="仿宋"/>
          <w:color w:val="000000"/>
          <w:sz w:val="28"/>
          <w:szCs w:val="28"/>
        </w:rPr>
        <w:t>筛查技术</w:t>
      </w:r>
      <w:r w:rsidRPr="0077616C">
        <w:rPr>
          <w:rFonts w:ascii="仿宋" w:eastAsia="仿宋" w:hAnsi="仿宋" w:hint="eastAsia"/>
          <w:color w:val="000000"/>
          <w:sz w:val="28"/>
          <w:szCs w:val="28"/>
        </w:rPr>
        <w:t>等研究</w:t>
      </w:r>
      <w:r w:rsidRPr="0077616C">
        <w:rPr>
          <w:rFonts w:ascii="仿宋" w:eastAsia="仿宋" w:hAnsi="仿宋"/>
          <w:color w:val="000000"/>
          <w:sz w:val="28"/>
          <w:szCs w:val="28"/>
        </w:rPr>
        <w:t>工作，具有较强的持久性和</w:t>
      </w:r>
      <w:r w:rsidRPr="0077616C">
        <w:rPr>
          <w:rFonts w:ascii="仿宋" w:eastAsia="仿宋" w:hAnsi="仿宋" w:hint="eastAsia"/>
          <w:color w:val="000000"/>
          <w:sz w:val="28"/>
          <w:szCs w:val="28"/>
        </w:rPr>
        <w:t>较好的社会</w:t>
      </w:r>
      <w:r w:rsidRPr="0077616C">
        <w:rPr>
          <w:rFonts w:ascii="仿宋" w:eastAsia="仿宋" w:hAnsi="仿宋"/>
          <w:color w:val="000000"/>
          <w:sz w:val="28"/>
          <w:szCs w:val="28"/>
        </w:rPr>
        <w:t>效益。</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3、服务对象满意度</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1）食安中心针对本项目采购的仪器设备安装调试合格率、设备型号与需求的匹配度、满足冬奥社会面食品安全抽检监测需要、满足冬奥会食品安全抽检监测需要、满足冬奥会科研项目方法开发的需求和产品质量及耐用性等六个方面向</w:t>
      </w:r>
      <w:r w:rsidRPr="007F536D">
        <w:rPr>
          <w:rFonts w:ascii="仿宋" w:eastAsia="仿宋" w:hAnsi="仿宋" w:hint="eastAsia"/>
          <w:color w:val="000000"/>
          <w:sz w:val="28"/>
          <w:szCs w:val="28"/>
        </w:rPr>
        <w:t>本</w:t>
      </w:r>
      <w:r w:rsidR="007F536D" w:rsidRPr="007F536D">
        <w:rPr>
          <w:rFonts w:ascii="仿宋" w:eastAsia="仿宋" w:hAnsi="仿宋" w:hint="eastAsia"/>
          <w:color w:val="000000"/>
          <w:sz w:val="28"/>
          <w:szCs w:val="28"/>
        </w:rPr>
        <w:t>项目</w:t>
      </w:r>
      <w:r w:rsidRPr="007F536D">
        <w:rPr>
          <w:rFonts w:ascii="仿宋" w:eastAsia="仿宋" w:hAnsi="仿宋" w:hint="eastAsia"/>
          <w:color w:val="000000"/>
          <w:sz w:val="28"/>
          <w:szCs w:val="28"/>
        </w:rPr>
        <w:t>设备</w:t>
      </w:r>
      <w:r w:rsidRPr="0077616C">
        <w:rPr>
          <w:rFonts w:ascii="仿宋" w:eastAsia="仿宋" w:hAnsi="仿宋" w:hint="eastAsia"/>
          <w:color w:val="000000"/>
          <w:sz w:val="28"/>
          <w:szCs w:val="28"/>
        </w:rPr>
        <w:t>使用人员进行了满意度调查，共发出调查问卷94份，回收94份，满意率为100%。</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2）食安中心针对本项目的受益部门对依托项目完成冬奥测试赛检测任务情况、建立兴奋剂检测方法、开展冬奥科研项目研究，并取得相应研究成果、提升冬奥会社会面食品安全技术支撑保障能力、提升冬奥供应食品的检验检测水平和能力以及满足冬奥食品安全保障检测任务时效性等方面开展了满意度调查，共涉及市市场监管局应急管理处（食品</w:t>
      </w:r>
      <w:r w:rsidRPr="0077616C">
        <w:rPr>
          <w:rFonts w:ascii="仿宋" w:eastAsia="仿宋" w:hAnsi="仿宋"/>
          <w:color w:val="000000"/>
          <w:sz w:val="28"/>
          <w:szCs w:val="28"/>
        </w:rPr>
        <w:t>安全</w:t>
      </w:r>
      <w:r w:rsidRPr="0077616C">
        <w:rPr>
          <w:rFonts w:ascii="仿宋" w:eastAsia="仿宋" w:hAnsi="仿宋" w:hint="eastAsia"/>
          <w:color w:val="000000"/>
          <w:sz w:val="28"/>
          <w:szCs w:val="28"/>
        </w:rPr>
        <w:t>抽检监测处）、市市场监管局食品药品安全协调处（市食安委办</w:t>
      </w:r>
      <w:r w:rsidRPr="0077616C">
        <w:rPr>
          <w:rFonts w:ascii="仿宋" w:eastAsia="仿宋" w:hAnsi="仿宋"/>
          <w:color w:val="000000"/>
          <w:sz w:val="28"/>
          <w:szCs w:val="28"/>
        </w:rPr>
        <w:t>秘书处</w:t>
      </w:r>
      <w:r w:rsidRPr="0077616C">
        <w:rPr>
          <w:rFonts w:ascii="仿宋" w:eastAsia="仿宋" w:hAnsi="仿宋" w:hint="eastAsia"/>
          <w:color w:val="000000"/>
          <w:sz w:val="28"/>
          <w:szCs w:val="28"/>
        </w:rPr>
        <w:t>）、食安中心</w:t>
      </w:r>
      <w:r w:rsidRPr="0077616C">
        <w:rPr>
          <w:rFonts w:ascii="仿宋" w:eastAsia="仿宋" w:hAnsi="仿宋"/>
          <w:color w:val="000000"/>
          <w:sz w:val="28"/>
          <w:szCs w:val="28"/>
        </w:rPr>
        <w:t>总工办</w:t>
      </w:r>
      <w:r w:rsidRPr="0077616C">
        <w:rPr>
          <w:rFonts w:ascii="仿宋" w:eastAsia="仿宋" w:hAnsi="仿宋" w:hint="eastAsia"/>
          <w:color w:val="000000"/>
          <w:sz w:val="28"/>
          <w:szCs w:val="28"/>
        </w:rPr>
        <w:t>等5个部门，满意率为100%。综上，项目完成质量较好，招标采购的设备已经投入使用，符合实验室</w:t>
      </w:r>
      <w:r w:rsidRPr="0077616C">
        <w:rPr>
          <w:rFonts w:ascii="仿宋" w:eastAsia="仿宋" w:hAnsi="仿宋" w:hint="eastAsia"/>
          <w:color w:val="000000"/>
          <w:sz w:val="28"/>
          <w:szCs w:val="28"/>
        </w:rPr>
        <w:lastRenderedPageBreak/>
        <w:t>需求。</w:t>
      </w:r>
    </w:p>
    <w:p w:rsidR="00C0327D" w:rsidRPr="00C64930" w:rsidRDefault="00C0327D" w:rsidP="00084E6F">
      <w:pPr>
        <w:pStyle w:val="1"/>
        <w:spacing w:beforeLines="50" w:afterLines="50"/>
        <w:ind w:left="0" w:firstLine="562"/>
        <w:jc w:val="left"/>
        <w:rPr>
          <w:rFonts w:ascii="仿宋" w:eastAsia="仿宋" w:hAnsi="仿宋"/>
          <w:color w:val="000000"/>
          <w:sz w:val="28"/>
          <w:szCs w:val="28"/>
        </w:rPr>
      </w:pPr>
      <w:bookmarkStart w:id="14" w:name="_Toc72500603"/>
      <w:r w:rsidRPr="00C64930">
        <w:rPr>
          <w:rFonts w:ascii="仿宋" w:eastAsia="仿宋" w:hAnsi="仿宋" w:hint="eastAsia"/>
          <w:color w:val="000000"/>
          <w:sz w:val="28"/>
          <w:szCs w:val="28"/>
        </w:rPr>
        <w:t>五、主要经验及做法、存在的问题及原因分析</w:t>
      </w:r>
      <w:bookmarkEnd w:id="14"/>
    </w:p>
    <w:p w:rsidR="00C0327D" w:rsidRDefault="00C0327D" w:rsidP="00084E6F">
      <w:pPr>
        <w:pStyle w:val="2"/>
        <w:spacing w:beforeLines="50" w:afterLines="50" w:line="360" w:lineRule="auto"/>
        <w:ind w:firstLineChars="200" w:firstLine="562"/>
        <w:rPr>
          <w:rFonts w:ascii="仿宋" w:eastAsia="仿宋" w:hAnsi="仿宋"/>
          <w:sz w:val="28"/>
          <w:szCs w:val="28"/>
        </w:rPr>
      </w:pPr>
      <w:bookmarkStart w:id="15" w:name="_Toc72500604"/>
      <w:r w:rsidRPr="00C64930">
        <w:rPr>
          <w:rFonts w:ascii="仿宋" w:eastAsia="仿宋" w:hAnsi="仿宋" w:hint="eastAsia"/>
          <w:sz w:val="28"/>
          <w:szCs w:val="28"/>
        </w:rPr>
        <w:t>（一）主要经验及做法</w:t>
      </w:r>
      <w:bookmarkEnd w:id="15"/>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本项目执行过程中严格履行“三重一大”决策程序，严格遵守政府采购招投标相关法律法规的要求，以及财政资金管理的要求，保证项目决策科学民主，实施过程公平、</w:t>
      </w:r>
      <w:r w:rsidRPr="0077616C">
        <w:rPr>
          <w:rFonts w:ascii="仿宋" w:eastAsia="仿宋" w:hAnsi="仿宋"/>
          <w:color w:val="000000"/>
          <w:sz w:val="28"/>
          <w:szCs w:val="28"/>
        </w:rPr>
        <w:t>公正</w:t>
      </w:r>
      <w:r w:rsidRPr="0077616C">
        <w:rPr>
          <w:rFonts w:ascii="仿宋" w:eastAsia="仿宋" w:hAnsi="仿宋" w:hint="eastAsia"/>
          <w:color w:val="000000"/>
          <w:sz w:val="28"/>
          <w:szCs w:val="28"/>
        </w:rPr>
        <w:t>、</w:t>
      </w:r>
      <w:r w:rsidRPr="0077616C">
        <w:rPr>
          <w:rFonts w:ascii="仿宋" w:eastAsia="仿宋" w:hAnsi="仿宋"/>
          <w:color w:val="000000"/>
          <w:sz w:val="28"/>
          <w:szCs w:val="28"/>
        </w:rPr>
        <w:t>公开</w:t>
      </w:r>
      <w:r w:rsidRPr="0077616C">
        <w:rPr>
          <w:rFonts w:ascii="仿宋" w:eastAsia="仿宋" w:hAnsi="仿宋" w:hint="eastAsia"/>
          <w:color w:val="000000"/>
          <w:sz w:val="28"/>
          <w:szCs w:val="28"/>
        </w:rPr>
        <w:t>。</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项目受新冠肺炎疫情和实验室装修改造影响，进度对比原实施方案有所滞后。项目单位紧密跟踪疫情防控最新进展情况和相关要求，及时调整项目实施方案，目前项目已顺利实施并按进度完成。</w:t>
      </w:r>
    </w:p>
    <w:p w:rsidR="00C0327D" w:rsidRDefault="00C0327D" w:rsidP="00084E6F">
      <w:pPr>
        <w:pStyle w:val="2"/>
        <w:spacing w:beforeLines="50" w:afterLines="50" w:line="360" w:lineRule="auto"/>
        <w:ind w:firstLineChars="200" w:firstLine="562"/>
        <w:rPr>
          <w:rFonts w:ascii="仿宋" w:eastAsia="仿宋" w:hAnsi="仿宋"/>
          <w:sz w:val="28"/>
          <w:szCs w:val="28"/>
        </w:rPr>
      </w:pPr>
      <w:bookmarkStart w:id="16" w:name="_Toc72500605"/>
      <w:r>
        <w:rPr>
          <w:rFonts w:ascii="仿宋" w:eastAsia="仿宋" w:hAnsi="仿宋" w:hint="eastAsia"/>
          <w:sz w:val="28"/>
          <w:szCs w:val="28"/>
        </w:rPr>
        <w:t>（二）存在的问题及原因分析</w:t>
      </w:r>
      <w:bookmarkEnd w:id="16"/>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1、顶层设计呈现不够充分</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食安中心未能以《北京2022年冬奥会和残奥会食品药品安全筹办工作行动方案》以及责任分工为契机，制定本部分发展规划或中长期规划，在体现发展战略性的指引性上不够充分。</w:t>
      </w:r>
    </w:p>
    <w:p w:rsidR="00C0327D" w:rsidRPr="0077616C" w:rsidRDefault="002343CE"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2、</w:t>
      </w:r>
      <w:r w:rsidR="00C0327D" w:rsidRPr="0077616C">
        <w:rPr>
          <w:rFonts w:ascii="仿宋" w:eastAsia="仿宋" w:hAnsi="仿宋" w:hint="eastAsia"/>
          <w:color w:val="000000"/>
          <w:sz w:val="28"/>
          <w:szCs w:val="28"/>
        </w:rPr>
        <w:t>项目实施延迟交货，但未严格执行合同相应条款</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作为2019年设备购置项目的直接延续项目，2019年最后一批采购合同已经于2019年12月订立完成，按照原计划应在2019年底全部设备到货。实际执行中，2020年6月30日到货率46%；2020年11月完成验收工作。项目实施不够及时，延迟完成，但未提供书面延迟交货理由书等。</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不符合本项目《政府采购合同》一般条款第十三条：延迟交货“……</w:t>
      </w:r>
      <w:r w:rsidRPr="0077616C">
        <w:rPr>
          <w:rFonts w:ascii="仿宋" w:eastAsia="仿宋" w:hAnsi="仿宋" w:hint="eastAsia"/>
          <w:color w:val="000000"/>
          <w:sz w:val="28"/>
          <w:szCs w:val="28"/>
        </w:rPr>
        <w:lastRenderedPageBreak/>
        <w:t>如果卖方无正当理由迟延交货，买方有权提出违约损失赔偿或解除合同；在履行合同过程中，如果卖方遇到不能按时交货和提供服务的情况，应及时以书面形式将不能按时交货的理由、预期延误时间通知买方，买方收到卖方通知后，认为其理由正当的，可酌情延长交货时间”的规定。</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3、可持续性研究和分析不够充分</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如，项目实施实现“启动食源性兴奋剂和有毒有害物质检验方法研究，提高现有仪器设备通量改善设备老化更新问题,保障冬奥会和冬残奥会食品安全保障工作顺利开展”的目标后，对于实验室如何创建品牌效应，持续开展服务，实现“进一步加强食品中未知物质和有毒有害物质筛查鉴定技术能力建设，提升大型活动食品安全技术保障能力，完善首都食品安全风险监测体系，为政府科学决策提供有力的技术支撑”的可持续影响效益方面研究和论证的不够充分。</w:t>
      </w:r>
    </w:p>
    <w:p w:rsidR="00C0327D" w:rsidRPr="0077616C" w:rsidRDefault="002343CE"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4、</w:t>
      </w:r>
      <w:r w:rsidR="00C0327D" w:rsidRPr="0077616C">
        <w:rPr>
          <w:rFonts w:ascii="仿宋" w:eastAsia="仿宋" w:hAnsi="仿宋" w:hint="eastAsia"/>
          <w:color w:val="000000"/>
          <w:sz w:val="28"/>
          <w:szCs w:val="28"/>
        </w:rPr>
        <w:t>满意度调查和分析的充分性不足</w:t>
      </w:r>
    </w:p>
    <w:p w:rsidR="00C0327D" w:rsidRPr="0077616C" w:rsidRDefault="00C0327D" w:rsidP="0077616C">
      <w:pPr>
        <w:spacing w:line="360" w:lineRule="auto"/>
        <w:ind w:firstLineChars="200" w:firstLine="560"/>
        <w:rPr>
          <w:rFonts w:ascii="仿宋" w:eastAsia="仿宋" w:hAnsi="仿宋"/>
          <w:color w:val="000000"/>
          <w:sz w:val="28"/>
          <w:szCs w:val="28"/>
        </w:rPr>
      </w:pPr>
      <w:r w:rsidRPr="007F536D">
        <w:rPr>
          <w:rFonts w:ascii="仿宋" w:eastAsia="仿宋" w:hAnsi="仿宋" w:hint="eastAsia"/>
          <w:color w:val="000000"/>
          <w:sz w:val="28"/>
          <w:szCs w:val="28"/>
        </w:rPr>
        <w:t>项目提供了94份实名满意度调查问卷的情况，</w:t>
      </w:r>
      <w:r w:rsidRPr="0077616C">
        <w:rPr>
          <w:rFonts w:ascii="仿宋" w:eastAsia="仿宋" w:hAnsi="仿宋" w:hint="eastAsia"/>
          <w:color w:val="000000"/>
          <w:sz w:val="28"/>
          <w:szCs w:val="28"/>
        </w:rPr>
        <w:t>对于调查结果的统计和分析不够充分。</w:t>
      </w:r>
    </w:p>
    <w:p w:rsidR="00C0327D" w:rsidRPr="00C64930" w:rsidRDefault="00C0327D" w:rsidP="00084E6F">
      <w:pPr>
        <w:pStyle w:val="1"/>
        <w:spacing w:beforeLines="50" w:afterLines="50"/>
        <w:ind w:left="0" w:firstLine="562"/>
        <w:jc w:val="left"/>
        <w:rPr>
          <w:rFonts w:ascii="仿宋" w:eastAsia="仿宋" w:hAnsi="仿宋"/>
          <w:color w:val="000000"/>
          <w:sz w:val="28"/>
          <w:szCs w:val="28"/>
        </w:rPr>
      </w:pPr>
      <w:bookmarkStart w:id="17" w:name="_Toc72500606"/>
      <w:r w:rsidRPr="00C64930">
        <w:rPr>
          <w:rFonts w:ascii="仿宋" w:eastAsia="仿宋" w:hAnsi="仿宋" w:hint="eastAsia"/>
          <w:color w:val="000000"/>
          <w:sz w:val="28"/>
          <w:szCs w:val="28"/>
        </w:rPr>
        <w:t>六、有关建议</w:t>
      </w:r>
      <w:bookmarkEnd w:id="17"/>
    </w:p>
    <w:p w:rsidR="00C0327D" w:rsidRPr="0077616C" w:rsidRDefault="00C0327D" w:rsidP="0077616C">
      <w:pPr>
        <w:spacing w:line="360" w:lineRule="auto"/>
        <w:ind w:firstLineChars="200" w:firstLine="560"/>
        <w:rPr>
          <w:rFonts w:ascii="仿宋" w:eastAsia="仿宋" w:hAnsi="仿宋"/>
          <w:color w:val="000000"/>
          <w:sz w:val="28"/>
          <w:szCs w:val="28"/>
        </w:rPr>
      </w:pPr>
      <w:bookmarkStart w:id="18" w:name="_Toc461166147"/>
      <w:r w:rsidRPr="0077616C">
        <w:rPr>
          <w:rFonts w:ascii="仿宋" w:eastAsia="仿宋" w:hAnsi="仿宋" w:hint="eastAsia"/>
          <w:color w:val="000000"/>
          <w:sz w:val="28"/>
          <w:szCs w:val="28"/>
        </w:rPr>
        <w:t>1、完善顶层设计，以《北京2022年冬奥会和残奥会食品药品安全筹办工作行动方案》以及责任分工为契机，制定本项目发展规划或中长期规划。</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2、加强项目的合同管理，严格按照合同约定的条款履行执行，确</w:t>
      </w:r>
      <w:r w:rsidR="00673557">
        <w:rPr>
          <w:rFonts w:ascii="仿宋" w:eastAsia="仿宋" w:hAnsi="仿宋" w:hint="eastAsia"/>
          <w:color w:val="000000"/>
          <w:sz w:val="28"/>
          <w:szCs w:val="28"/>
        </w:rPr>
        <w:t>保财政资金的安全和高效使用，确保财政资金发挥最大效益。</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lastRenderedPageBreak/>
        <w:t>3、进一步深化和研究未来食安中心发展和服务的思路，提高项目的可持续性，实现财政资金投入的目标。</w:t>
      </w:r>
    </w:p>
    <w:p w:rsidR="00C0327D" w:rsidRPr="0077616C" w:rsidRDefault="00C0327D" w:rsidP="0077616C">
      <w:pPr>
        <w:spacing w:line="360" w:lineRule="auto"/>
        <w:ind w:firstLineChars="200" w:firstLine="560"/>
        <w:rPr>
          <w:rFonts w:ascii="仿宋" w:eastAsia="仿宋" w:hAnsi="仿宋"/>
          <w:color w:val="000000"/>
          <w:sz w:val="28"/>
          <w:szCs w:val="28"/>
        </w:rPr>
      </w:pPr>
      <w:r w:rsidRPr="0077616C">
        <w:rPr>
          <w:rFonts w:ascii="仿宋" w:eastAsia="仿宋" w:hAnsi="仿宋" w:hint="eastAsia"/>
          <w:color w:val="000000"/>
          <w:sz w:val="28"/>
          <w:szCs w:val="28"/>
        </w:rPr>
        <w:t>4、丰富满意度调查内容，完善调查结果的统计和分析，最大限度展现项目实施效果。</w:t>
      </w:r>
    </w:p>
    <w:p w:rsidR="00C0327D" w:rsidRPr="00C64930" w:rsidRDefault="00C64930" w:rsidP="00084E6F">
      <w:pPr>
        <w:pStyle w:val="1"/>
        <w:spacing w:beforeLines="50" w:afterLines="50"/>
        <w:ind w:left="0" w:firstLine="562"/>
        <w:jc w:val="left"/>
        <w:rPr>
          <w:rFonts w:ascii="仿宋" w:eastAsia="仿宋" w:hAnsi="仿宋"/>
          <w:color w:val="000000"/>
          <w:sz w:val="28"/>
          <w:szCs w:val="28"/>
        </w:rPr>
      </w:pPr>
      <w:bookmarkStart w:id="19" w:name="_Toc72500607"/>
      <w:r>
        <w:rPr>
          <w:rFonts w:ascii="仿宋" w:eastAsia="仿宋" w:hAnsi="仿宋" w:hint="eastAsia"/>
          <w:color w:val="000000"/>
          <w:sz w:val="28"/>
          <w:szCs w:val="28"/>
        </w:rPr>
        <w:t>七、</w:t>
      </w:r>
      <w:r w:rsidR="00C0327D" w:rsidRPr="00C64930">
        <w:rPr>
          <w:rFonts w:ascii="仿宋" w:eastAsia="仿宋" w:hAnsi="仿宋" w:hint="eastAsia"/>
          <w:color w:val="000000"/>
          <w:sz w:val="28"/>
          <w:szCs w:val="28"/>
        </w:rPr>
        <w:t>其他需要说明的问题</w:t>
      </w:r>
      <w:bookmarkEnd w:id="19"/>
    </w:p>
    <w:p w:rsidR="00C0327D" w:rsidRPr="00681B83" w:rsidRDefault="00C0327D" w:rsidP="00681B83">
      <w:pPr>
        <w:spacing w:line="360" w:lineRule="auto"/>
        <w:ind w:firstLineChars="200" w:firstLine="560"/>
        <w:rPr>
          <w:rFonts w:ascii="仿宋" w:eastAsia="仿宋" w:hAnsi="仿宋"/>
          <w:color w:val="000000"/>
          <w:sz w:val="28"/>
          <w:szCs w:val="28"/>
        </w:rPr>
      </w:pPr>
      <w:r w:rsidRPr="00681B83">
        <w:rPr>
          <w:rFonts w:ascii="仿宋" w:eastAsia="仿宋" w:hAnsi="仿宋" w:hint="eastAsia"/>
          <w:color w:val="000000"/>
          <w:sz w:val="28"/>
          <w:szCs w:val="28"/>
        </w:rPr>
        <w:t>无。</w:t>
      </w:r>
    </w:p>
    <w:bookmarkEnd w:id="18"/>
    <w:p w:rsidR="00C0327D" w:rsidRDefault="00C0327D" w:rsidP="00681B83">
      <w:pPr>
        <w:spacing w:line="360" w:lineRule="auto"/>
        <w:ind w:firstLineChars="200" w:firstLine="560"/>
        <w:rPr>
          <w:rFonts w:ascii="仿宋" w:eastAsia="仿宋" w:hAnsi="仿宋"/>
          <w:color w:val="000000"/>
          <w:sz w:val="28"/>
          <w:szCs w:val="28"/>
        </w:rPr>
      </w:pPr>
    </w:p>
    <w:p w:rsidR="00C0327D" w:rsidRPr="00681B83" w:rsidRDefault="00C0327D" w:rsidP="00681B83">
      <w:pPr>
        <w:spacing w:line="360" w:lineRule="auto"/>
        <w:ind w:firstLineChars="200" w:firstLine="560"/>
        <w:rPr>
          <w:rFonts w:ascii="仿宋" w:eastAsia="仿宋" w:hAnsi="仿宋"/>
          <w:color w:val="000000"/>
          <w:sz w:val="28"/>
          <w:szCs w:val="28"/>
        </w:rPr>
        <w:sectPr w:rsidR="00C0327D" w:rsidRPr="00681B83" w:rsidSect="009F707E">
          <w:pgSz w:w="11906" w:h="16838"/>
          <w:pgMar w:top="1418" w:right="1558" w:bottom="851" w:left="1843" w:header="851" w:footer="992" w:gutter="0"/>
          <w:cols w:space="720"/>
          <w:docGrid w:type="linesAndChars" w:linePitch="312"/>
        </w:sectPr>
      </w:pPr>
      <w:r w:rsidRPr="00681B83">
        <w:rPr>
          <w:rFonts w:ascii="仿宋" w:eastAsia="仿宋" w:hAnsi="仿宋" w:hint="eastAsia"/>
          <w:color w:val="000000"/>
          <w:sz w:val="28"/>
          <w:szCs w:val="28"/>
        </w:rPr>
        <w:t>附件：评分表</w:t>
      </w:r>
    </w:p>
    <w:p w:rsidR="00C0327D" w:rsidRPr="00681B83" w:rsidRDefault="00C0327D" w:rsidP="00681B83">
      <w:pPr>
        <w:spacing w:line="360" w:lineRule="auto"/>
        <w:rPr>
          <w:rFonts w:ascii="仿宋" w:eastAsia="仿宋" w:hAnsi="仿宋"/>
          <w:color w:val="000000"/>
          <w:sz w:val="28"/>
          <w:szCs w:val="28"/>
        </w:rPr>
      </w:pPr>
      <w:r w:rsidRPr="00681B83">
        <w:rPr>
          <w:rFonts w:ascii="仿宋" w:eastAsia="仿宋" w:hAnsi="仿宋"/>
          <w:color w:val="000000"/>
          <w:sz w:val="28"/>
          <w:szCs w:val="28"/>
        </w:rPr>
        <w:lastRenderedPageBreak/>
        <w:t>附件：</w:t>
      </w:r>
    </w:p>
    <w:p w:rsidR="002343CE" w:rsidRPr="002343CE" w:rsidRDefault="002343CE" w:rsidP="002343CE">
      <w:pPr>
        <w:jc w:val="center"/>
        <w:rPr>
          <w:rFonts w:ascii="仿宋" w:eastAsia="仿宋" w:hAnsi="仿宋"/>
          <w:bCs/>
          <w:snapToGrid w:val="0"/>
          <w:color w:val="000000"/>
          <w:kern w:val="0"/>
          <w:sz w:val="28"/>
          <w:szCs w:val="28"/>
        </w:rPr>
      </w:pPr>
      <w:r w:rsidRPr="002343CE">
        <w:rPr>
          <w:rFonts w:ascii="仿宋" w:eastAsia="仿宋" w:hAnsi="仿宋" w:hint="eastAsia"/>
          <w:bCs/>
          <w:snapToGrid w:val="0"/>
          <w:color w:val="000000"/>
          <w:kern w:val="0"/>
          <w:sz w:val="28"/>
          <w:szCs w:val="28"/>
        </w:rPr>
        <w:t>评分表</w:t>
      </w:r>
    </w:p>
    <w:p w:rsidR="00C0327D" w:rsidRDefault="00084E6F">
      <w:pPr>
        <w:rPr>
          <w:color w:val="000000"/>
        </w:rPr>
      </w:pPr>
      <w:r w:rsidRPr="00084E6F">
        <w:lastRenderedPageBreak/>
        <w:drawing>
          <wp:inline distT="0" distB="0" distL="0" distR="0">
            <wp:extent cx="5759450" cy="8149095"/>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srcRect/>
                    <a:stretch>
                      <a:fillRect/>
                    </a:stretch>
                  </pic:blipFill>
                  <pic:spPr bwMode="auto">
                    <a:xfrm>
                      <a:off x="0" y="0"/>
                      <a:ext cx="5759450" cy="8149095"/>
                    </a:xfrm>
                    <a:prstGeom prst="rect">
                      <a:avLst/>
                    </a:prstGeom>
                    <a:noFill/>
                    <a:ln w="9525">
                      <a:noFill/>
                      <a:miter lim="800000"/>
                      <a:headEnd/>
                      <a:tailEnd/>
                    </a:ln>
                  </pic:spPr>
                </pic:pic>
              </a:graphicData>
            </a:graphic>
          </wp:inline>
        </w:drawing>
      </w:r>
    </w:p>
    <w:sectPr w:rsidR="00C0327D" w:rsidSect="00DF399F">
      <w:pgSz w:w="11906" w:h="16838"/>
      <w:pgMar w:top="1418" w:right="1418" w:bottom="851" w:left="1418" w:header="851" w:footer="992"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52F8" w:rsidRDefault="005D52F8">
      <w:r>
        <w:separator/>
      </w:r>
    </w:p>
  </w:endnote>
  <w:endnote w:type="continuationSeparator" w:id="1">
    <w:p w:rsidR="005D52F8" w:rsidRDefault="005D52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楷体_GB2312">
    <w:altName w:val="楷体"/>
    <w:charset w:val="86"/>
    <w:family w:val="modern"/>
    <w:pitch w:val="default"/>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3557" w:rsidRDefault="00673557">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27D" w:rsidRDefault="00DF399F">
    <w:pPr>
      <w:pStyle w:val="a5"/>
      <w:jc w:val="center"/>
    </w:pPr>
    <w:fldSimple w:instr="PAGE   \* MERGEFORMAT">
      <w:r w:rsidR="00C0327D">
        <w:rPr>
          <w:lang w:val="zh-CN"/>
        </w:rPr>
        <w:t>2</w:t>
      </w:r>
    </w:fldSimple>
  </w:p>
  <w:p w:rsidR="00C0327D" w:rsidRDefault="00C0327D">
    <w:pPr>
      <w:pStyle w:val="a5"/>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27D" w:rsidRDefault="00C0327D">
    <w:pPr>
      <w:pStyle w:val="a5"/>
      <w:jc w:val="center"/>
    </w:pPr>
  </w:p>
  <w:p w:rsidR="00C0327D" w:rsidRDefault="00C0327D">
    <w:pPr>
      <w:pStyle w:val="a5"/>
      <w:jc w:val="cen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27D" w:rsidRDefault="00C0327D">
    <w:pPr>
      <w:pStyle w:val="a5"/>
      <w:jc w:val="center"/>
    </w:pPr>
  </w:p>
  <w:p w:rsidR="00C0327D" w:rsidRDefault="00C0327D">
    <w:pPr>
      <w:pStyle w:val="a5"/>
      <w:jc w:val="cen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27D" w:rsidRDefault="00C0327D">
    <w:pPr>
      <w:pStyle w:val="a5"/>
      <w:jc w:val="cen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27D" w:rsidRDefault="00DF399F">
    <w:pPr>
      <w:pStyle w:val="a5"/>
      <w:framePr w:wrap="around" w:vAnchor="text" w:hAnchor="margin" w:xAlign="center" w:y="1"/>
      <w:rPr>
        <w:rStyle w:val="ab"/>
      </w:rPr>
    </w:pPr>
    <w:r>
      <w:fldChar w:fldCharType="begin"/>
    </w:r>
    <w:r w:rsidR="00C0327D">
      <w:rPr>
        <w:rStyle w:val="ab"/>
      </w:rPr>
      <w:instrText xml:space="preserve">PAGE  </w:instrText>
    </w:r>
    <w:r>
      <w:fldChar w:fldCharType="separate"/>
    </w:r>
    <w:r w:rsidR="00C0327D">
      <w:rPr>
        <w:rStyle w:val="ab"/>
      </w:rPr>
      <w:t>12</w:t>
    </w:r>
    <w:r>
      <w:fldChar w:fldCharType="end"/>
    </w:r>
  </w:p>
  <w:p w:rsidR="00C0327D" w:rsidRDefault="00C0327D">
    <w:pPr>
      <w:pStyle w:val="a5"/>
    </w:pPr>
  </w:p>
  <w:p w:rsidR="00C0327D" w:rsidRDefault="00C0327D"/>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27D" w:rsidRPr="0077616C" w:rsidRDefault="00DF399F" w:rsidP="0077616C">
    <w:pPr>
      <w:pStyle w:val="a5"/>
      <w:jc w:val="center"/>
      <w:rPr>
        <w:rFonts w:ascii="宋体" w:hAnsi="宋体"/>
      </w:rPr>
    </w:pPr>
    <w:r>
      <w:rPr>
        <w:rFonts w:ascii="宋体" w:hAnsi="宋体"/>
      </w:rPr>
      <w:fldChar w:fldCharType="begin"/>
    </w:r>
    <w:r w:rsidR="00C0327D">
      <w:rPr>
        <w:rFonts w:ascii="宋体" w:hAnsi="宋体"/>
      </w:rPr>
      <w:instrText xml:space="preserve"> PAGE   \* MERGEFORMAT </w:instrText>
    </w:r>
    <w:r>
      <w:rPr>
        <w:rFonts w:ascii="宋体" w:hAnsi="宋体"/>
      </w:rPr>
      <w:fldChar w:fldCharType="separate"/>
    </w:r>
    <w:r w:rsidR="00084E6F" w:rsidRPr="00084E6F">
      <w:rPr>
        <w:rFonts w:ascii="宋体" w:hAnsi="宋体"/>
        <w:noProof/>
        <w:lang w:val="zh-CN"/>
      </w:rPr>
      <w:t>23</w:t>
    </w:r>
    <w:r>
      <w:rPr>
        <w:rFonts w:ascii="宋体" w:hAnsi="宋体"/>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52F8" w:rsidRDefault="005D52F8">
      <w:r>
        <w:separator/>
      </w:r>
    </w:p>
  </w:footnote>
  <w:footnote w:type="continuationSeparator" w:id="1">
    <w:p w:rsidR="005D52F8" w:rsidRDefault="005D52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3557" w:rsidRDefault="00673557">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3557" w:rsidRDefault="00673557">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27D" w:rsidRDefault="00C0327D">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D5593"/>
    <w:multiLevelType w:val="multilevel"/>
    <w:tmpl w:val="08CD5593"/>
    <w:lvl w:ilvl="0">
      <w:start w:val="1"/>
      <w:numFmt w:val="decimal"/>
      <w:lvlText w:val="%1、"/>
      <w:lvlJc w:val="left"/>
      <w:pPr>
        <w:ind w:left="1430" w:hanging="720"/>
      </w:pPr>
      <w:rPr>
        <w:rFonts w:hint="default"/>
      </w:rPr>
    </w:lvl>
    <w:lvl w:ilvl="1">
      <w:start w:val="1"/>
      <w:numFmt w:val="lowerLetter"/>
      <w:lvlText w:val="%2)"/>
      <w:lvlJc w:val="left"/>
      <w:pPr>
        <w:ind w:left="1540" w:hanging="420"/>
      </w:pPr>
    </w:lvl>
    <w:lvl w:ilvl="2">
      <w:start w:val="1"/>
      <w:numFmt w:val="lowerRoman"/>
      <w:lvlText w:val="%3."/>
      <w:lvlJc w:val="right"/>
      <w:pPr>
        <w:ind w:left="1960" w:hanging="420"/>
      </w:pPr>
    </w:lvl>
    <w:lvl w:ilvl="3">
      <w:start w:val="1"/>
      <w:numFmt w:val="decimal"/>
      <w:lvlText w:val="%4."/>
      <w:lvlJc w:val="left"/>
      <w:pPr>
        <w:ind w:left="2380" w:hanging="420"/>
      </w:pPr>
    </w:lvl>
    <w:lvl w:ilvl="4">
      <w:start w:val="1"/>
      <w:numFmt w:val="lowerLetter"/>
      <w:lvlText w:val="%5)"/>
      <w:lvlJc w:val="left"/>
      <w:pPr>
        <w:ind w:left="2800" w:hanging="420"/>
      </w:pPr>
    </w:lvl>
    <w:lvl w:ilvl="5">
      <w:start w:val="1"/>
      <w:numFmt w:val="lowerRoman"/>
      <w:lvlText w:val="%6."/>
      <w:lvlJc w:val="right"/>
      <w:pPr>
        <w:ind w:left="3220" w:hanging="420"/>
      </w:pPr>
    </w:lvl>
    <w:lvl w:ilvl="6">
      <w:start w:val="1"/>
      <w:numFmt w:val="decimal"/>
      <w:lvlText w:val="%7."/>
      <w:lvlJc w:val="left"/>
      <w:pPr>
        <w:ind w:left="3640" w:hanging="420"/>
      </w:pPr>
    </w:lvl>
    <w:lvl w:ilvl="7">
      <w:start w:val="1"/>
      <w:numFmt w:val="lowerLetter"/>
      <w:lvlText w:val="%8)"/>
      <w:lvlJc w:val="left"/>
      <w:pPr>
        <w:ind w:left="4060" w:hanging="420"/>
      </w:pPr>
    </w:lvl>
    <w:lvl w:ilvl="8">
      <w:start w:val="1"/>
      <w:numFmt w:val="lowerRoman"/>
      <w:lvlText w:val="%9."/>
      <w:lvlJc w:val="right"/>
      <w:pPr>
        <w:ind w:left="4480" w:hanging="420"/>
      </w:pPr>
    </w:lvl>
  </w:abstractNum>
  <w:abstractNum w:abstractNumId="1">
    <w:nsid w:val="12347F87"/>
    <w:multiLevelType w:val="multilevel"/>
    <w:tmpl w:val="12347F87"/>
    <w:lvl w:ilvl="0">
      <w:start w:val="3"/>
      <w:numFmt w:val="japaneseCounting"/>
      <w:lvlText w:val="（%1）"/>
      <w:lvlJc w:val="left"/>
      <w:pPr>
        <w:ind w:left="1720" w:hanging="1080"/>
      </w:pPr>
      <w:rPr>
        <w:rFonts w:hint="default"/>
      </w:rPr>
    </w:lvl>
    <w:lvl w:ilvl="1">
      <w:start w:val="4"/>
      <w:numFmt w:val="decimal"/>
      <w:lvlText w:val="%2、"/>
      <w:lvlJc w:val="left"/>
      <w:pPr>
        <w:ind w:left="1780" w:hanging="720"/>
      </w:pPr>
      <w:rPr>
        <w:rFonts w:hint="default"/>
      </w:r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2">
    <w:nsid w:val="1CC03679"/>
    <w:multiLevelType w:val="multilevel"/>
    <w:tmpl w:val="1CC03679"/>
    <w:lvl w:ilvl="0">
      <w:start w:val="7"/>
      <w:numFmt w:val="japaneseCounting"/>
      <w:lvlText w:val="%1、"/>
      <w:lvlJc w:val="left"/>
      <w:pPr>
        <w:ind w:left="1363" w:hanging="720"/>
      </w:pPr>
      <w:rPr>
        <w:rFonts w:hint="default"/>
      </w:rPr>
    </w:lvl>
    <w:lvl w:ilvl="1">
      <w:start w:val="1"/>
      <w:numFmt w:val="lowerLetter"/>
      <w:lvlText w:val="%2)"/>
      <w:lvlJc w:val="left"/>
      <w:pPr>
        <w:ind w:left="1483" w:hanging="420"/>
      </w:p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abstractNum w:abstractNumId="3">
    <w:nsid w:val="21E6992A"/>
    <w:multiLevelType w:val="singleLevel"/>
    <w:tmpl w:val="21E6992A"/>
    <w:lvl w:ilvl="0">
      <w:start w:val="2"/>
      <w:numFmt w:val="decimal"/>
      <w:suff w:val="nothing"/>
      <w:lvlText w:val="%1、"/>
      <w:lvlJc w:val="left"/>
    </w:lvl>
  </w:abstractNum>
  <w:abstractNum w:abstractNumId="4">
    <w:nsid w:val="2D500049"/>
    <w:multiLevelType w:val="hybridMultilevel"/>
    <w:tmpl w:val="715A2974"/>
    <w:lvl w:ilvl="0" w:tplc="4656D882">
      <w:start w:val="2"/>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4A090C44"/>
    <w:multiLevelType w:val="hybridMultilevel"/>
    <w:tmpl w:val="BAB07740"/>
    <w:lvl w:ilvl="0" w:tplc="BE181C22">
      <w:start w:val="2"/>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540E5F21"/>
    <w:multiLevelType w:val="hybridMultilevel"/>
    <w:tmpl w:val="51662346"/>
    <w:lvl w:ilvl="0" w:tplc="2EC6C0CE">
      <w:start w:val="2"/>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58DC33CC"/>
    <w:multiLevelType w:val="hybridMultilevel"/>
    <w:tmpl w:val="CE286AC6"/>
    <w:lvl w:ilvl="0" w:tplc="B0AC472C">
      <w:start w:val="3"/>
      <w:numFmt w:val="japaneseCounting"/>
      <w:lvlText w:val="（%1）"/>
      <w:lvlJc w:val="left"/>
      <w:pPr>
        <w:ind w:left="1447" w:hanging="885"/>
      </w:pPr>
      <w:rPr>
        <w:rFonts w:hint="default"/>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8">
    <w:nsid w:val="5DB35F51"/>
    <w:multiLevelType w:val="hybridMultilevel"/>
    <w:tmpl w:val="8B5A6B88"/>
    <w:lvl w:ilvl="0" w:tplc="D93459C6">
      <w:start w:val="2"/>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625F1A74"/>
    <w:multiLevelType w:val="multilevel"/>
    <w:tmpl w:val="625F1A74"/>
    <w:lvl w:ilvl="0">
      <w:start w:val="1"/>
      <w:numFmt w:val="decimal"/>
      <w:lvlText w:val="（%1）"/>
      <w:lvlJc w:val="left"/>
      <w:pPr>
        <w:ind w:left="1280" w:hanging="7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num w:numId="1">
    <w:abstractNumId w:val="1"/>
  </w:num>
  <w:num w:numId="2">
    <w:abstractNumId w:val="0"/>
  </w:num>
  <w:num w:numId="3">
    <w:abstractNumId w:val="9"/>
  </w:num>
  <w:num w:numId="4">
    <w:abstractNumId w:val="3"/>
  </w:num>
  <w:num w:numId="5">
    <w:abstractNumId w:val="2"/>
  </w:num>
  <w:num w:numId="6">
    <w:abstractNumId w:val="7"/>
  </w:num>
  <w:num w:numId="7">
    <w:abstractNumId w:val="8"/>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7170"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E4494"/>
    <w:rsid w:val="00000067"/>
    <w:rsid w:val="000012E6"/>
    <w:rsid w:val="00001A13"/>
    <w:rsid w:val="00004FB1"/>
    <w:rsid w:val="0000626A"/>
    <w:rsid w:val="00007BCD"/>
    <w:rsid w:val="0001177E"/>
    <w:rsid w:val="00012047"/>
    <w:rsid w:val="000123F6"/>
    <w:rsid w:val="0001332E"/>
    <w:rsid w:val="00015283"/>
    <w:rsid w:val="00016B2D"/>
    <w:rsid w:val="0002074D"/>
    <w:rsid w:val="000232EF"/>
    <w:rsid w:val="000239CE"/>
    <w:rsid w:val="000247CA"/>
    <w:rsid w:val="000253F4"/>
    <w:rsid w:val="000257E3"/>
    <w:rsid w:val="000260A0"/>
    <w:rsid w:val="00026232"/>
    <w:rsid w:val="0002646C"/>
    <w:rsid w:val="00027F8E"/>
    <w:rsid w:val="00030E93"/>
    <w:rsid w:val="00031896"/>
    <w:rsid w:val="00032ED4"/>
    <w:rsid w:val="00034341"/>
    <w:rsid w:val="000361DA"/>
    <w:rsid w:val="000373E1"/>
    <w:rsid w:val="000374B8"/>
    <w:rsid w:val="000377BA"/>
    <w:rsid w:val="0004255E"/>
    <w:rsid w:val="000458B3"/>
    <w:rsid w:val="00045E9E"/>
    <w:rsid w:val="00047500"/>
    <w:rsid w:val="000501D0"/>
    <w:rsid w:val="00050259"/>
    <w:rsid w:val="00053471"/>
    <w:rsid w:val="00053E7C"/>
    <w:rsid w:val="0005571B"/>
    <w:rsid w:val="00055C43"/>
    <w:rsid w:val="00055DBA"/>
    <w:rsid w:val="00056610"/>
    <w:rsid w:val="0005677B"/>
    <w:rsid w:val="00057274"/>
    <w:rsid w:val="00057A8A"/>
    <w:rsid w:val="00062D4D"/>
    <w:rsid w:val="00063041"/>
    <w:rsid w:val="0006366D"/>
    <w:rsid w:val="00073627"/>
    <w:rsid w:val="00074FE5"/>
    <w:rsid w:val="00076831"/>
    <w:rsid w:val="00077EA7"/>
    <w:rsid w:val="00080444"/>
    <w:rsid w:val="00081554"/>
    <w:rsid w:val="0008274F"/>
    <w:rsid w:val="00083988"/>
    <w:rsid w:val="00083AE3"/>
    <w:rsid w:val="000842D6"/>
    <w:rsid w:val="00084C3E"/>
    <w:rsid w:val="00084E6F"/>
    <w:rsid w:val="0008581B"/>
    <w:rsid w:val="0008639D"/>
    <w:rsid w:val="000876C7"/>
    <w:rsid w:val="00090DE5"/>
    <w:rsid w:val="000915B9"/>
    <w:rsid w:val="00093D8B"/>
    <w:rsid w:val="000963C6"/>
    <w:rsid w:val="000A0039"/>
    <w:rsid w:val="000A03AA"/>
    <w:rsid w:val="000A06BF"/>
    <w:rsid w:val="000A32F6"/>
    <w:rsid w:val="000A4C59"/>
    <w:rsid w:val="000B2F5D"/>
    <w:rsid w:val="000B4734"/>
    <w:rsid w:val="000B4A08"/>
    <w:rsid w:val="000B5AE5"/>
    <w:rsid w:val="000B5B56"/>
    <w:rsid w:val="000B5E6E"/>
    <w:rsid w:val="000C3C8C"/>
    <w:rsid w:val="000C4422"/>
    <w:rsid w:val="000C47A7"/>
    <w:rsid w:val="000C59D4"/>
    <w:rsid w:val="000C5BA9"/>
    <w:rsid w:val="000C623B"/>
    <w:rsid w:val="000C66ED"/>
    <w:rsid w:val="000C6F47"/>
    <w:rsid w:val="000D1463"/>
    <w:rsid w:val="000D1BEA"/>
    <w:rsid w:val="000D42B4"/>
    <w:rsid w:val="000D50AA"/>
    <w:rsid w:val="000D5B16"/>
    <w:rsid w:val="000D7CE8"/>
    <w:rsid w:val="000E0F47"/>
    <w:rsid w:val="000E1EEA"/>
    <w:rsid w:val="000F0D41"/>
    <w:rsid w:val="000F19B8"/>
    <w:rsid w:val="000F2929"/>
    <w:rsid w:val="000F3BB9"/>
    <w:rsid w:val="000F4B83"/>
    <w:rsid w:val="000F608B"/>
    <w:rsid w:val="00103B3D"/>
    <w:rsid w:val="00104677"/>
    <w:rsid w:val="00104EB7"/>
    <w:rsid w:val="00104F66"/>
    <w:rsid w:val="001056EA"/>
    <w:rsid w:val="001066AA"/>
    <w:rsid w:val="001100E6"/>
    <w:rsid w:val="001121A7"/>
    <w:rsid w:val="0011234E"/>
    <w:rsid w:val="00113E10"/>
    <w:rsid w:val="00113E7F"/>
    <w:rsid w:val="00114136"/>
    <w:rsid w:val="00114AF5"/>
    <w:rsid w:val="00115764"/>
    <w:rsid w:val="00121BD4"/>
    <w:rsid w:val="00122978"/>
    <w:rsid w:val="001235DF"/>
    <w:rsid w:val="00124FFE"/>
    <w:rsid w:val="001270A3"/>
    <w:rsid w:val="00130C84"/>
    <w:rsid w:val="001316D2"/>
    <w:rsid w:val="001323A9"/>
    <w:rsid w:val="001358D5"/>
    <w:rsid w:val="001361AB"/>
    <w:rsid w:val="00136550"/>
    <w:rsid w:val="00136E27"/>
    <w:rsid w:val="00137F9A"/>
    <w:rsid w:val="0014039E"/>
    <w:rsid w:val="001404EF"/>
    <w:rsid w:val="00140FAF"/>
    <w:rsid w:val="00142445"/>
    <w:rsid w:val="00146FC1"/>
    <w:rsid w:val="00146FEB"/>
    <w:rsid w:val="00151610"/>
    <w:rsid w:val="00160F5A"/>
    <w:rsid w:val="0016175E"/>
    <w:rsid w:val="00162144"/>
    <w:rsid w:val="00162E47"/>
    <w:rsid w:val="001630B4"/>
    <w:rsid w:val="00164A99"/>
    <w:rsid w:val="00167B91"/>
    <w:rsid w:val="00174DEF"/>
    <w:rsid w:val="00177147"/>
    <w:rsid w:val="00177835"/>
    <w:rsid w:val="001810F1"/>
    <w:rsid w:val="00181452"/>
    <w:rsid w:val="00181855"/>
    <w:rsid w:val="00181FC4"/>
    <w:rsid w:val="00182BFA"/>
    <w:rsid w:val="00185658"/>
    <w:rsid w:val="001857D0"/>
    <w:rsid w:val="001864D7"/>
    <w:rsid w:val="0019081F"/>
    <w:rsid w:val="00193F6C"/>
    <w:rsid w:val="00194B7E"/>
    <w:rsid w:val="00195320"/>
    <w:rsid w:val="001959EE"/>
    <w:rsid w:val="00195D2B"/>
    <w:rsid w:val="00196133"/>
    <w:rsid w:val="00197672"/>
    <w:rsid w:val="001A0D87"/>
    <w:rsid w:val="001A1550"/>
    <w:rsid w:val="001A211E"/>
    <w:rsid w:val="001A7EFA"/>
    <w:rsid w:val="001B2D3A"/>
    <w:rsid w:val="001B328A"/>
    <w:rsid w:val="001B32E9"/>
    <w:rsid w:val="001B4691"/>
    <w:rsid w:val="001B5338"/>
    <w:rsid w:val="001B5BD1"/>
    <w:rsid w:val="001B7000"/>
    <w:rsid w:val="001C422D"/>
    <w:rsid w:val="001C4C6B"/>
    <w:rsid w:val="001C4C86"/>
    <w:rsid w:val="001C5425"/>
    <w:rsid w:val="001C58EB"/>
    <w:rsid w:val="001C5A06"/>
    <w:rsid w:val="001D01EE"/>
    <w:rsid w:val="001D243E"/>
    <w:rsid w:val="001D5771"/>
    <w:rsid w:val="001D66C3"/>
    <w:rsid w:val="001D6DF9"/>
    <w:rsid w:val="001D763F"/>
    <w:rsid w:val="001D7BD4"/>
    <w:rsid w:val="001E0092"/>
    <w:rsid w:val="001E1299"/>
    <w:rsid w:val="001E12F7"/>
    <w:rsid w:val="001E232E"/>
    <w:rsid w:val="001E29C4"/>
    <w:rsid w:val="001E632F"/>
    <w:rsid w:val="001E721D"/>
    <w:rsid w:val="001F0F78"/>
    <w:rsid w:val="001F1103"/>
    <w:rsid w:val="001F1A18"/>
    <w:rsid w:val="001F2234"/>
    <w:rsid w:val="001F4CD2"/>
    <w:rsid w:val="001F4ED0"/>
    <w:rsid w:val="001F53D0"/>
    <w:rsid w:val="002009F4"/>
    <w:rsid w:val="00203BBA"/>
    <w:rsid w:val="0020610D"/>
    <w:rsid w:val="00206262"/>
    <w:rsid w:val="0021042F"/>
    <w:rsid w:val="002106A0"/>
    <w:rsid w:val="00211DB9"/>
    <w:rsid w:val="002132D8"/>
    <w:rsid w:val="00213F5E"/>
    <w:rsid w:val="002144FD"/>
    <w:rsid w:val="00216BA9"/>
    <w:rsid w:val="00220B64"/>
    <w:rsid w:val="00222000"/>
    <w:rsid w:val="0022294B"/>
    <w:rsid w:val="00223397"/>
    <w:rsid w:val="002245EC"/>
    <w:rsid w:val="002256D5"/>
    <w:rsid w:val="0022763A"/>
    <w:rsid w:val="00230FD8"/>
    <w:rsid w:val="002330A6"/>
    <w:rsid w:val="0023361B"/>
    <w:rsid w:val="002343CE"/>
    <w:rsid w:val="0023583B"/>
    <w:rsid w:val="00235EB2"/>
    <w:rsid w:val="00236713"/>
    <w:rsid w:val="00237C7F"/>
    <w:rsid w:val="00241D90"/>
    <w:rsid w:val="00243554"/>
    <w:rsid w:val="00243B76"/>
    <w:rsid w:val="002471ED"/>
    <w:rsid w:val="0025038B"/>
    <w:rsid w:val="00250F8B"/>
    <w:rsid w:val="00251133"/>
    <w:rsid w:val="00251994"/>
    <w:rsid w:val="0025577D"/>
    <w:rsid w:val="00255835"/>
    <w:rsid w:val="00256215"/>
    <w:rsid w:val="00256297"/>
    <w:rsid w:val="00256497"/>
    <w:rsid w:val="00256F48"/>
    <w:rsid w:val="00260416"/>
    <w:rsid w:val="00260EC5"/>
    <w:rsid w:val="002626DC"/>
    <w:rsid w:val="00266D75"/>
    <w:rsid w:val="00267DAE"/>
    <w:rsid w:val="00271259"/>
    <w:rsid w:val="002737CC"/>
    <w:rsid w:val="002743FA"/>
    <w:rsid w:val="00274AC5"/>
    <w:rsid w:val="00274CAE"/>
    <w:rsid w:val="002751C8"/>
    <w:rsid w:val="002770A4"/>
    <w:rsid w:val="00277206"/>
    <w:rsid w:val="00277573"/>
    <w:rsid w:val="00281690"/>
    <w:rsid w:val="00281857"/>
    <w:rsid w:val="00285040"/>
    <w:rsid w:val="002906CC"/>
    <w:rsid w:val="00291AF3"/>
    <w:rsid w:val="00292A23"/>
    <w:rsid w:val="002930F9"/>
    <w:rsid w:val="00293916"/>
    <w:rsid w:val="00296016"/>
    <w:rsid w:val="0029785D"/>
    <w:rsid w:val="002A0855"/>
    <w:rsid w:val="002A09C4"/>
    <w:rsid w:val="002A21B6"/>
    <w:rsid w:val="002A443F"/>
    <w:rsid w:val="002A53F8"/>
    <w:rsid w:val="002A7330"/>
    <w:rsid w:val="002B0EE4"/>
    <w:rsid w:val="002B0FA5"/>
    <w:rsid w:val="002B2063"/>
    <w:rsid w:val="002B3E5B"/>
    <w:rsid w:val="002C13E2"/>
    <w:rsid w:val="002C253B"/>
    <w:rsid w:val="002C2578"/>
    <w:rsid w:val="002C3B79"/>
    <w:rsid w:val="002C6D46"/>
    <w:rsid w:val="002C7427"/>
    <w:rsid w:val="002D1034"/>
    <w:rsid w:val="002D35A9"/>
    <w:rsid w:val="002D38ED"/>
    <w:rsid w:val="002D4EE2"/>
    <w:rsid w:val="002E02E2"/>
    <w:rsid w:val="002E1092"/>
    <w:rsid w:val="002E1323"/>
    <w:rsid w:val="002E1A08"/>
    <w:rsid w:val="002E1F2E"/>
    <w:rsid w:val="002E2CD0"/>
    <w:rsid w:val="002E2F15"/>
    <w:rsid w:val="002E3096"/>
    <w:rsid w:val="002E3E13"/>
    <w:rsid w:val="002E3E28"/>
    <w:rsid w:val="002E769D"/>
    <w:rsid w:val="002F4E3B"/>
    <w:rsid w:val="002F4F34"/>
    <w:rsid w:val="002F5A1C"/>
    <w:rsid w:val="002F5FB1"/>
    <w:rsid w:val="002F6A75"/>
    <w:rsid w:val="002F7E7A"/>
    <w:rsid w:val="00300B8C"/>
    <w:rsid w:val="0030163E"/>
    <w:rsid w:val="00302140"/>
    <w:rsid w:val="00302A8C"/>
    <w:rsid w:val="00302BB2"/>
    <w:rsid w:val="0030325C"/>
    <w:rsid w:val="00304743"/>
    <w:rsid w:val="003052E3"/>
    <w:rsid w:val="0031109E"/>
    <w:rsid w:val="003110DA"/>
    <w:rsid w:val="00315395"/>
    <w:rsid w:val="00315459"/>
    <w:rsid w:val="0032183C"/>
    <w:rsid w:val="00321E8D"/>
    <w:rsid w:val="00322FB3"/>
    <w:rsid w:val="00324495"/>
    <w:rsid w:val="00330188"/>
    <w:rsid w:val="003306FF"/>
    <w:rsid w:val="00331A63"/>
    <w:rsid w:val="00334983"/>
    <w:rsid w:val="003351C9"/>
    <w:rsid w:val="003357E7"/>
    <w:rsid w:val="00336BC3"/>
    <w:rsid w:val="00337169"/>
    <w:rsid w:val="003372E4"/>
    <w:rsid w:val="003374F8"/>
    <w:rsid w:val="003401FA"/>
    <w:rsid w:val="003439FB"/>
    <w:rsid w:val="00343C02"/>
    <w:rsid w:val="00344A2E"/>
    <w:rsid w:val="00344E45"/>
    <w:rsid w:val="00345F98"/>
    <w:rsid w:val="00347709"/>
    <w:rsid w:val="003512A6"/>
    <w:rsid w:val="0035253E"/>
    <w:rsid w:val="00352A6A"/>
    <w:rsid w:val="00353C59"/>
    <w:rsid w:val="00354D50"/>
    <w:rsid w:val="0035629D"/>
    <w:rsid w:val="00360962"/>
    <w:rsid w:val="00362A57"/>
    <w:rsid w:val="00362ACA"/>
    <w:rsid w:val="00362C41"/>
    <w:rsid w:val="00364A72"/>
    <w:rsid w:val="00365BB9"/>
    <w:rsid w:val="00366D9D"/>
    <w:rsid w:val="003679F0"/>
    <w:rsid w:val="00367BF4"/>
    <w:rsid w:val="00371AB6"/>
    <w:rsid w:val="00374EE9"/>
    <w:rsid w:val="003831C0"/>
    <w:rsid w:val="00384B99"/>
    <w:rsid w:val="0038538D"/>
    <w:rsid w:val="00390256"/>
    <w:rsid w:val="00391BDC"/>
    <w:rsid w:val="00391DE6"/>
    <w:rsid w:val="00392DF6"/>
    <w:rsid w:val="0039365F"/>
    <w:rsid w:val="003957B2"/>
    <w:rsid w:val="003960F7"/>
    <w:rsid w:val="00396326"/>
    <w:rsid w:val="003976B3"/>
    <w:rsid w:val="003A2D70"/>
    <w:rsid w:val="003A3EB5"/>
    <w:rsid w:val="003A4BA8"/>
    <w:rsid w:val="003A4FC1"/>
    <w:rsid w:val="003A5D04"/>
    <w:rsid w:val="003A6134"/>
    <w:rsid w:val="003B19EC"/>
    <w:rsid w:val="003B5170"/>
    <w:rsid w:val="003B5765"/>
    <w:rsid w:val="003B63C5"/>
    <w:rsid w:val="003B683B"/>
    <w:rsid w:val="003B7479"/>
    <w:rsid w:val="003B747E"/>
    <w:rsid w:val="003B793D"/>
    <w:rsid w:val="003C11CA"/>
    <w:rsid w:val="003C27FB"/>
    <w:rsid w:val="003C3525"/>
    <w:rsid w:val="003C388B"/>
    <w:rsid w:val="003C5AF3"/>
    <w:rsid w:val="003D05F5"/>
    <w:rsid w:val="003D52A5"/>
    <w:rsid w:val="003D66C0"/>
    <w:rsid w:val="003D70BB"/>
    <w:rsid w:val="003E1C8F"/>
    <w:rsid w:val="003E25C7"/>
    <w:rsid w:val="003E44A1"/>
    <w:rsid w:val="003E5B6E"/>
    <w:rsid w:val="003E6C59"/>
    <w:rsid w:val="003F0115"/>
    <w:rsid w:val="003F13B5"/>
    <w:rsid w:val="003F6247"/>
    <w:rsid w:val="003F6921"/>
    <w:rsid w:val="0040147C"/>
    <w:rsid w:val="00401C67"/>
    <w:rsid w:val="00405733"/>
    <w:rsid w:val="00406B4E"/>
    <w:rsid w:val="00411D32"/>
    <w:rsid w:val="00415DF3"/>
    <w:rsid w:val="00417088"/>
    <w:rsid w:val="00417DD8"/>
    <w:rsid w:val="004210B4"/>
    <w:rsid w:val="00421FA7"/>
    <w:rsid w:val="00422B51"/>
    <w:rsid w:val="00423486"/>
    <w:rsid w:val="00423773"/>
    <w:rsid w:val="00423FEB"/>
    <w:rsid w:val="004244E1"/>
    <w:rsid w:val="00425CC8"/>
    <w:rsid w:val="00425D59"/>
    <w:rsid w:val="00427043"/>
    <w:rsid w:val="0043029E"/>
    <w:rsid w:val="00437770"/>
    <w:rsid w:val="00437DAD"/>
    <w:rsid w:val="004414B0"/>
    <w:rsid w:val="00442CEF"/>
    <w:rsid w:val="00443775"/>
    <w:rsid w:val="00443938"/>
    <w:rsid w:val="00444D45"/>
    <w:rsid w:val="00444FD1"/>
    <w:rsid w:val="0044501C"/>
    <w:rsid w:val="004451A7"/>
    <w:rsid w:val="00447521"/>
    <w:rsid w:val="0045209F"/>
    <w:rsid w:val="00452BAD"/>
    <w:rsid w:val="00452EA7"/>
    <w:rsid w:val="00454761"/>
    <w:rsid w:val="00456BB0"/>
    <w:rsid w:val="00457353"/>
    <w:rsid w:val="004603DA"/>
    <w:rsid w:val="004642E4"/>
    <w:rsid w:val="00465329"/>
    <w:rsid w:val="0047264C"/>
    <w:rsid w:val="00473196"/>
    <w:rsid w:val="0047602B"/>
    <w:rsid w:val="0047672D"/>
    <w:rsid w:val="004767A5"/>
    <w:rsid w:val="00477664"/>
    <w:rsid w:val="00481BBD"/>
    <w:rsid w:val="00482BCE"/>
    <w:rsid w:val="00483EC2"/>
    <w:rsid w:val="00487BA9"/>
    <w:rsid w:val="00490EEB"/>
    <w:rsid w:val="004912E5"/>
    <w:rsid w:val="00491B30"/>
    <w:rsid w:val="00493A59"/>
    <w:rsid w:val="004943E6"/>
    <w:rsid w:val="00494AE4"/>
    <w:rsid w:val="0049694C"/>
    <w:rsid w:val="00496D07"/>
    <w:rsid w:val="004A07E2"/>
    <w:rsid w:val="004A13AE"/>
    <w:rsid w:val="004A1706"/>
    <w:rsid w:val="004A25A3"/>
    <w:rsid w:val="004A3525"/>
    <w:rsid w:val="004A41B1"/>
    <w:rsid w:val="004A4E70"/>
    <w:rsid w:val="004A73A3"/>
    <w:rsid w:val="004B0CC0"/>
    <w:rsid w:val="004B64BF"/>
    <w:rsid w:val="004C2E5D"/>
    <w:rsid w:val="004C6371"/>
    <w:rsid w:val="004D0968"/>
    <w:rsid w:val="004D1138"/>
    <w:rsid w:val="004D1872"/>
    <w:rsid w:val="004D3216"/>
    <w:rsid w:val="004D541E"/>
    <w:rsid w:val="004E1EC9"/>
    <w:rsid w:val="004E55AF"/>
    <w:rsid w:val="004E5EAA"/>
    <w:rsid w:val="004E750F"/>
    <w:rsid w:val="004E7FB7"/>
    <w:rsid w:val="004F23DC"/>
    <w:rsid w:val="004F253A"/>
    <w:rsid w:val="004F4E13"/>
    <w:rsid w:val="004F6639"/>
    <w:rsid w:val="004F7E3F"/>
    <w:rsid w:val="00500522"/>
    <w:rsid w:val="00501979"/>
    <w:rsid w:val="00502D6C"/>
    <w:rsid w:val="005054E6"/>
    <w:rsid w:val="005059C9"/>
    <w:rsid w:val="005135A1"/>
    <w:rsid w:val="00514003"/>
    <w:rsid w:val="005156F2"/>
    <w:rsid w:val="00515965"/>
    <w:rsid w:val="00516D5E"/>
    <w:rsid w:val="00517864"/>
    <w:rsid w:val="00517D23"/>
    <w:rsid w:val="00520F23"/>
    <w:rsid w:val="0052234E"/>
    <w:rsid w:val="00522972"/>
    <w:rsid w:val="005266D6"/>
    <w:rsid w:val="005267E2"/>
    <w:rsid w:val="00526CED"/>
    <w:rsid w:val="005309BC"/>
    <w:rsid w:val="00530B1D"/>
    <w:rsid w:val="00531146"/>
    <w:rsid w:val="00531C61"/>
    <w:rsid w:val="00532111"/>
    <w:rsid w:val="005379A1"/>
    <w:rsid w:val="005404CA"/>
    <w:rsid w:val="00540DB0"/>
    <w:rsid w:val="00543DF1"/>
    <w:rsid w:val="00544D02"/>
    <w:rsid w:val="00545BD3"/>
    <w:rsid w:val="00546E2D"/>
    <w:rsid w:val="00552695"/>
    <w:rsid w:val="0055435A"/>
    <w:rsid w:val="00557E19"/>
    <w:rsid w:val="005615D1"/>
    <w:rsid w:val="00561DF9"/>
    <w:rsid w:val="00563FEE"/>
    <w:rsid w:val="00564057"/>
    <w:rsid w:val="0056519B"/>
    <w:rsid w:val="0056699F"/>
    <w:rsid w:val="0056761A"/>
    <w:rsid w:val="00567E52"/>
    <w:rsid w:val="00572938"/>
    <w:rsid w:val="00577D06"/>
    <w:rsid w:val="00577F03"/>
    <w:rsid w:val="00582DA9"/>
    <w:rsid w:val="00583090"/>
    <w:rsid w:val="00583BE2"/>
    <w:rsid w:val="00584822"/>
    <w:rsid w:val="00585857"/>
    <w:rsid w:val="00585ABC"/>
    <w:rsid w:val="00586811"/>
    <w:rsid w:val="00586C17"/>
    <w:rsid w:val="00587C8E"/>
    <w:rsid w:val="00592BFD"/>
    <w:rsid w:val="00592DCF"/>
    <w:rsid w:val="005934EB"/>
    <w:rsid w:val="0059509C"/>
    <w:rsid w:val="00595830"/>
    <w:rsid w:val="00595DB9"/>
    <w:rsid w:val="0059607B"/>
    <w:rsid w:val="005A086C"/>
    <w:rsid w:val="005A0C34"/>
    <w:rsid w:val="005A1C19"/>
    <w:rsid w:val="005A200D"/>
    <w:rsid w:val="005A643B"/>
    <w:rsid w:val="005B6FC5"/>
    <w:rsid w:val="005B76F9"/>
    <w:rsid w:val="005C6505"/>
    <w:rsid w:val="005C70A0"/>
    <w:rsid w:val="005C7D0E"/>
    <w:rsid w:val="005D0402"/>
    <w:rsid w:val="005D2315"/>
    <w:rsid w:val="005D3DC8"/>
    <w:rsid w:val="005D430E"/>
    <w:rsid w:val="005D462C"/>
    <w:rsid w:val="005D468B"/>
    <w:rsid w:val="005D52F8"/>
    <w:rsid w:val="005D608F"/>
    <w:rsid w:val="005D6E58"/>
    <w:rsid w:val="005D7905"/>
    <w:rsid w:val="005D7ADE"/>
    <w:rsid w:val="005E22F4"/>
    <w:rsid w:val="005E22FF"/>
    <w:rsid w:val="005E271C"/>
    <w:rsid w:val="005E558F"/>
    <w:rsid w:val="005E5ABC"/>
    <w:rsid w:val="005F1811"/>
    <w:rsid w:val="005F49D5"/>
    <w:rsid w:val="005F5B8B"/>
    <w:rsid w:val="005F6F23"/>
    <w:rsid w:val="0060185B"/>
    <w:rsid w:val="00603F8A"/>
    <w:rsid w:val="00604B99"/>
    <w:rsid w:val="00605F44"/>
    <w:rsid w:val="0060780D"/>
    <w:rsid w:val="0061294E"/>
    <w:rsid w:val="00614BFB"/>
    <w:rsid w:val="006162B4"/>
    <w:rsid w:val="006176E8"/>
    <w:rsid w:val="006233C3"/>
    <w:rsid w:val="00627207"/>
    <w:rsid w:val="006302AA"/>
    <w:rsid w:val="006303B7"/>
    <w:rsid w:val="00631ADD"/>
    <w:rsid w:val="0063256B"/>
    <w:rsid w:val="0063360A"/>
    <w:rsid w:val="00634217"/>
    <w:rsid w:val="00634F87"/>
    <w:rsid w:val="00635C28"/>
    <w:rsid w:val="00635C41"/>
    <w:rsid w:val="006360CB"/>
    <w:rsid w:val="0063712A"/>
    <w:rsid w:val="00637803"/>
    <w:rsid w:val="00641052"/>
    <w:rsid w:val="00641FE2"/>
    <w:rsid w:val="006459D9"/>
    <w:rsid w:val="0064763A"/>
    <w:rsid w:val="00650043"/>
    <w:rsid w:val="0065136D"/>
    <w:rsid w:val="00653489"/>
    <w:rsid w:val="00653EF7"/>
    <w:rsid w:val="00655520"/>
    <w:rsid w:val="00655B0B"/>
    <w:rsid w:val="00657E0E"/>
    <w:rsid w:val="00660979"/>
    <w:rsid w:val="0066215A"/>
    <w:rsid w:val="006622DF"/>
    <w:rsid w:val="0066638A"/>
    <w:rsid w:val="006700E5"/>
    <w:rsid w:val="006726E9"/>
    <w:rsid w:val="00673557"/>
    <w:rsid w:val="00673FDF"/>
    <w:rsid w:val="006757CB"/>
    <w:rsid w:val="00675D3A"/>
    <w:rsid w:val="00675D6A"/>
    <w:rsid w:val="0067795E"/>
    <w:rsid w:val="00681B83"/>
    <w:rsid w:val="0068208C"/>
    <w:rsid w:val="00682809"/>
    <w:rsid w:val="006837D9"/>
    <w:rsid w:val="006840E7"/>
    <w:rsid w:val="00684ECE"/>
    <w:rsid w:val="00684FE1"/>
    <w:rsid w:val="00690559"/>
    <w:rsid w:val="00690789"/>
    <w:rsid w:val="006907DC"/>
    <w:rsid w:val="00692B70"/>
    <w:rsid w:val="00692F48"/>
    <w:rsid w:val="0069495C"/>
    <w:rsid w:val="00695817"/>
    <w:rsid w:val="006A0E67"/>
    <w:rsid w:val="006A29F9"/>
    <w:rsid w:val="006A41A4"/>
    <w:rsid w:val="006B2170"/>
    <w:rsid w:val="006B317F"/>
    <w:rsid w:val="006B3335"/>
    <w:rsid w:val="006B4BA0"/>
    <w:rsid w:val="006C041D"/>
    <w:rsid w:val="006C0E15"/>
    <w:rsid w:val="006C13C1"/>
    <w:rsid w:val="006C2203"/>
    <w:rsid w:val="006C24F9"/>
    <w:rsid w:val="006C372D"/>
    <w:rsid w:val="006C3AD7"/>
    <w:rsid w:val="006C477C"/>
    <w:rsid w:val="006C4AE1"/>
    <w:rsid w:val="006C68FB"/>
    <w:rsid w:val="006C6FA2"/>
    <w:rsid w:val="006D108E"/>
    <w:rsid w:val="006D2838"/>
    <w:rsid w:val="006D318B"/>
    <w:rsid w:val="006E062F"/>
    <w:rsid w:val="006E1177"/>
    <w:rsid w:val="006E1355"/>
    <w:rsid w:val="006E1F92"/>
    <w:rsid w:val="006E2967"/>
    <w:rsid w:val="006E2BE5"/>
    <w:rsid w:val="006E3AE3"/>
    <w:rsid w:val="006E4C1B"/>
    <w:rsid w:val="006E5893"/>
    <w:rsid w:val="006E5A0B"/>
    <w:rsid w:val="006F2AB2"/>
    <w:rsid w:val="006F2DCC"/>
    <w:rsid w:val="006F463E"/>
    <w:rsid w:val="006F7C09"/>
    <w:rsid w:val="00700CC2"/>
    <w:rsid w:val="00704BA9"/>
    <w:rsid w:val="00705447"/>
    <w:rsid w:val="00706978"/>
    <w:rsid w:val="007100B4"/>
    <w:rsid w:val="007122B6"/>
    <w:rsid w:val="00712375"/>
    <w:rsid w:val="00714F4C"/>
    <w:rsid w:val="00716FA2"/>
    <w:rsid w:val="00717A18"/>
    <w:rsid w:val="00723194"/>
    <w:rsid w:val="0072468D"/>
    <w:rsid w:val="007249F3"/>
    <w:rsid w:val="00725090"/>
    <w:rsid w:val="007264A2"/>
    <w:rsid w:val="0072664D"/>
    <w:rsid w:val="00727367"/>
    <w:rsid w:val="00736D6C"/>
    <w:rsid w:val="00736D79"/>
    <w:rsid w:val="00740CF4"/>
    <w:rsid w:val="00741F3D"/>
    <w:rsid w:val="007438BF"/>
    <w:rsid w:val="00743C90"/>
    <w:rsid w:val="00743D6D"/>
    <w:rsid w:val="00744082"/>
    <w:rsid w:val="007463A3"/>
    <w:rsid w:val="00746EEE"/>
    <w:rsid w:val="00750608"/>
    <w:rsid w:val="0075482D"/>
    <w:rsid w:val="0075493A"/>
    <w:rsid w:val="0075622F"/>
    <w:rsid w:val="007604E5"/>
    <w:rsid w:val="00761D76"/>
    <w:rsid w:val="00761F37"/>
    <w:rsid w:val="00764B86"/>
    <w:rsid w:val="00771997"/>
    <w:rsid w:val="007747FE"/>
    <w:rsid w:val="0077616C"/>
    <w:rsid w:val="0077646E"/>
    <w:rsid w:val="007800A4"/>
    <w:rsid w:val="00780150"/>
    <w:rsid w:val="00785027"/>
    <w:rsid w:val="00787835"/>
    <w:rsid w:val="00792BA3"/>
    <w:rsid w:val="00793E94"/>
    <w:rsid w:val="00795A0E"/>
    <w:rsid w:val="007A1D4D"/>
    <w:rsid w:val="007A283F"/>
    <w:rsid w:val="007A3865"/>
    <w:rsid w:val="007A4206"/>
    <w:rsid w:val="007B1245"/>
    <w:rsid w:val="007B14DC"/>
    <w:rsid w:val="007B1952"/>
    <w:rsid w:val="007B1C5C"/>
    <w:rsid w:val="007B265C"/>
    <w:rsid w:val="007B44E2"/>
    <w:rsid w:val="007B4E1C"/>
    <w:rsid w:val="007B52C4"/>
    <w:rsid w:val="007B5CC0"/>
    <w:rsid w:val="007B61A3"/>
    <w:rsid w:val="007B6A52"/>
    <w:rsid w:val="007C0AB9"/>
    <w:rsid w:val="007C1CF5"/>
    <w:rsid w:val="007C73ED"/>
    <w:rsid w:val="007D2CF0"/>
    <w:rsid w:val="007D5A14"/>
    <w:rsid w:val="007D73D1"/>
    <w:rsid w:val="007E11F4"/>
    <w:rsid w:val="007E2437"/>
    <w:rsid w:val="007E526E"/>
    <w:rsid w:val="007F1D00"/>
    <w:rsid w:val="007F2E7F"/>
    <w:rsid w:val="007F2F6B"/>
    <w:rsid w:val="007F536D"/>
    <w:rsid w:val="00804120"/>
    <w:rsid w:val="00804486"/>
    <w:rsid w:val="008045CB"/>
    <w:rsid w:val="00804A67"/>
    <w:rsid w:val="0080655A"/>
    <w:rsid w:val="00806570"/>
    <w:rsid w:val="0080799A"/>
    <w:rsid w:val="0082087F"/>
    <w:rsid w:val="0082088F"/>
    <w:rsid w:val="008209D6"/>
    <w:rsid w:val="00821328"/>
    <w:rsid w:val="0082152F"/>
    <w:rsid w:val="008233B7"/>
    <w:rsid w:val="00823810"/>
    <w:rsid w:val="00823E1E"/>
    <w:rsid w:val="00824832"/>
    <w:rsid w:val="00824D67"/>
    <w:rsid w:val="0082710C"/>
    <w:rsid w:val="00827946"/>
    <w:rsid w:val="0083496A"/>
    <w:rsid w:val="00834B0B"/>
    <w:rsid w:val="00835348"/>
    <w:rsid w:val="0083575A"/>
    <w:rsid w:val="0084213B"/>
    <w:rsid w:val="008436C6"/>
    <w:rsid w:val="0084432D"/>
    <w:rsid w:val="008454CA"/>
    <w:rsid w:val="00847045"/>
    <w:rsid w:val="00847961"/>
    <w:rsid w:val="0085202D"/>
    <w:rsid w:val="00854A27"/>
    <w:rsid w:val="00854C39"/>
    <w:rsid w:val="008575BE"/>
    <w:rsid w:val="00857F9A"/>
    <w:rsid w:val="00861CD5"/>
    <w:rsid w:val="00862005"/>
    <w:rsid w:val="00862291"/>
    <w:rsid w:val="00863DE6"/>
    <w:rsid w:val="00863ED5"/>
    <w:rsid w:val="00864295"/>
    <w:rsid w:val="00865C52"/>
    <w:rsid w:val="00870274"/>
    <w:rsid w:val="008712F1"/>
    <w:rsid w:val="00873C15"/>
    <w:rsid w:val="008744A6"/>
    <w:rsid w:val="008774A9"/>
    <w:rsid w:val="00882C24"/>
    <w:rsid w:val="00883896"/>
    <w:rsid w:val="008848BA"/>
    <w:rsid w:val="00885C93"/>
    <w:rsid w:val="00886681"/>
    <w:rsid w:val="00886A99"/>
    <w:rsid w:val="008872D1"/>
    <w:rsid w:val="00891736"/>
    <w:rsid w:val="0089206B"/>
    <w:rsid w:val="008938A4"/>
    <w:rsid w:val="00893B91"/>
    <w:rsid w:val="00894248"/>
    <w:rsid w:val="00895558"/>
    <w:rsid w:val="00897122"/>
    <w:rsid w:val="008A1ED9"/>
    <w:rsid w:val="008A6A65"/>
    <w:rsid w:val="008B005A"/>
    <w:rsid w:val="008B366D"/>
    <w:rsid w:val="008C0034"/>
    <w:rsid w:val="008C174F"/>
    <w:rsid w:val="008C2CD4"/>
    <w:rsid w:val="008C3E15"/>
    <w:rsid w:val="008C67BD"/>
    <w:rsid w:val="008C7969"/>
    <w:rsid w:val="008D01A0"/>
    <w:rsid w:val="008D2353"/>
    <w:rsid w:val="008D2D11"/>
    <w:rsid w:val="008D38BE"/>
    <w:rsid w:val="008D41AE"/>
    <w:rsid w:val="008D4B5D"/>
    <w:rsid w:val="008D4C1C"/>
    <w:rsid w:val="008D4FD6"/>
    <w:rsid w:val="008D6CF1"/>
    <w:rsid w:val="008E08E3"/>
    <w:rsid w:val="008E43C3"/>
    <w:rsid w:val="008E5656"/>
    <w:rsid w:val="008E6F90"/>
    <w:rsid w:val="008E7B67"/>
    <w:rsid w:val="008F18C7"/>
    <w:rsid w:val="008F4115"/>
    <w:rsid w:val="008F4DC6"/>
    <w:rsid w:val="008F4FEE"/>
    <w:rsid w:val="008F64E2"/>
    <w:rsid w:val="008F6557"/>
    <w:rsid w:val="008F658B"/>
    <w:rsid w:val="00901F00"/>
    <w:rsid w:val="0090386F"/>
    <w:rsid w:val="009039D6"/>
    <w:rsid w:val="009070B3"/>
    <w:rsid w:val="00910583"/>
    <w:rsid w:val="00911E12"/>
    <w:rsid w:val="00914A53"/>
    <w:rsid w:val="00914EB4"/>
    <w:rsid w:val="00915755"/>
    <w:rsid w:val="00916762"/>
    <w:rsid w:val="00916FA7"/>
    <w:rsid w:val="0092010A"/>
    <w:rsid w:val="009212E4"/>
    <w:rsid w:val="009227F5"/>
    <w:rsid w:val="009251F4"/>
    <w:rsid w:val="00931F4D"/>
    <w:rsid w:val="009323C6"/>
    <w:rsid w:val="00935896"/>
    <w:rsid w:val="009376B6"/>
    <w:rsid w:val="00940153"/>
    <w:rsid w:val="00941C0E"/>
    <w:rsid w:val="00942EB7"/>
    <w:rsid w:val="00945DE4"/>
    <w:rsid w:val="00946B18"/>
    <w:rsid w:val="00950875"/>
    <w:rsid w:val="00950E11"/>
    <w:rsid w:val="0095157F"/>
    <w:rsid w:val="0095538E"/>
    <w:rsid w:val="009565AF"/>
    <w:rsid w:val="00957315"/>
    <w:rsid w:val="009603B2"/>
    <w:rsid w:val="00961D1A"/>
    <w:rsid w:val="00963B3B"/>
    <w:rsid w:val="00964DE9"/>
    <w:rsid w:val="00965237"/>
    <w:rsid w:val="00965B19"/>
    <w:rsid w:val="00967080"/>
    <w:rsid w:val="0096722F"/>
    <w:rsid w:val="0097554F"/>
    <w:rsid w:val="0097555F"/>
    <w:rsid w:val="00977337"/>
    <w:rsid w:val="00977E1C"/>
    <w:rsid w:val="00980248"/>
    <w:rsid w:val="00980706"/>
    <w:rsid w:val="0098075F"/>
    <w:rsid w:val="00980A5B"/>
    <w:rsid w:val="009830BE"/>
    <w:rsid w:val="00984862"/>
    <w:rsid w:val="00985255"/>
    <w:rsid w:val="00987D73"/>
    <w:rsid w:val="00990A67"/>
    <w:rsid w:val="00991765"/>
    <w:rsid w:val="009920B1"/>
    <w:rsid w:val="0099224B"/>
    <w:rsid w:val="00993CC8"/>
    <w:rsid w:val="00996089"/>
    <w:rsid w:val="009A0122"/>
    <w:rsid w:val="009A09B9"/>
    <w:rsid w:val="009A1D31"/>
    <w:rsid w:val="009A2701"/>
    <w:rsid w:val="009A35D3"/>
    <w:rsid w:val="009A481B"/>
    <w:rsid w:val="009A6BA3"/>
    <w:rsid w:val="009B3099"/>
    <w:rsid w:val="009B539F"/>
    <w:rsid w:val="009B5A1E"/>
    <w:rsid w:val="009B7B57"/>
    <w:rsid w:val="009C22D1"/>
    <w:rsid w:val="009C3268"/>
    <w:rsid w:val="009C5325"/>
    <w:rsid w:val="009C78BD"/>
    <w:rsid w:val="009D00DD"/>
    <w:rsid w:val="009D04E0"/>
    <w:rsid w:val="009D0EB1"/>
    <w:rsid w:val="009D1E1F"/>
    <w:rsid w:val="009D5F82"/>
    <w:rsid w:val="009D79DC"/>
    <w:rsid w:val="009E055E"/>
    <w:rsid w:val="009E1D42"/>
    <w:rsid w:val="009E3B02"/>
    <w:rsid w:val="009E52E7"/>
    <w:rsid w:val="009F0676"/>
    <w:rsid w:val="009F17E5"/>
    <w:rsid w:val="009F1C63"/>
    <w:rsid w:val="009F32E0"/>
    <w:rsid w:val="009F4D07"/>
    <w:rsid w:val="009F62A5"/>
    <w:rsid w:val="009F707E"/>
    <w:rsid w:val="009F71C4"/>
    <w:rsid w:val="00A014F7"/>
    <w:rsid w:val="00A049E7"/>
    <w:rsid w:val="00A052EE"/>
    <w:rsid w:val="00A0573B"/>
    <w:rsid w:val="00A062D9"/>
    <w:rsid w:val="00A07349"/>
    <w:rsid w:val="00A10608"/>
    <w:rsid w:val="00A117C2"/>
    <w:rsid w:val="00A12DFF"/>
    <w:rsid w:val="00A14ACC"/>
    <w:rsid w:val="00A1673A"/>
    <w:rsid w:val="00A17833"/>
    <w:rsid w:val="00A20923"/>
    <w:rsid w:val="00A23AF0"/>
    <w:rsid w:val="00A258D4"/>
    <w:rsid w:val="00A25A2A"/>
    <w:rsid w:val="00A26B0D"/>
    <w:rsid w:val="00A302E2"/>
    <w:rsid w:val="00A312AA"/>
    <w:rsid w:val="00A313B1"/>
    <w:rsid w:val="00A31C90"/>
    <w:rsid w:val="00A33277"/>
    <w:rsid w:val="00A34E9B"/>
    <w:rsid w:val="00A35C4F"/>
    <w:rsid w:val="00A36824"/>
    <w:rsid w:val="00A4330D"/>
    <w:rsid w:val="00A44AEA"/>
    <w:rsid w:val="00A4567F"/>
    <w:rsid w:val="00A46FFA"/>
    <w:rsid w:val="00A50C84"/>
    <w:rsid w:val="00A50DDA"/>
    <w:rsid w:val="00A50F32"/>
    <w:rsid w:val="00A54224"/>
    <w:rsid w:val="00A55A8B"/>
    <w:rsid w:val="00A560A9"/>
    <w:rsid w:val="00A6123C"/>
    <w:rsid w:val="00A64B7F"/>
    <w:rsid w:val="00A65C35"/>
    <w:rsid w:val="00A66CE6"/>
    <w:rsid w:val="00A671BD"/>
    <w:rsid w:val="00A679EF"/>
    <w:rsid w:val="00A7034A"/>
    <w:rsid w:val="00A717CA"/>
    <w:rsid w:val="00A76F35"/>
    <w:rsid w:val="00A8090F"/>
    <w:rsid w:val="00A85AFE"/>
    <w:rsid w:val="00A86150"/>
    <w:rsid w:val="00A8746A"/>
    <w:rsid w:val="00A87F06"/>
    <w:rsid w:val="00A93DF5"/>
    <w:rsid w:val="00A9418C"/>
    <w:rsid w:val="00A94609"/>
    <w:rsid w:val="00AA0913"/>
    <w:rsid w:val="00AA2E7B"/>
    <w:rsid w:val="00AA3591"/>
    <w:rsid w:val="00AA4519"/>
    <w:rsid w:val="00AA4A80"/>
    <w:rsid w:val="00AA531D"/>
    <w:rsid w:val="00AA69F2"/>
    <w:rsid w:val="00AA6AB8"/>
    <w:rsid w:val="00AB1EB2"/>
    <w:rsid w:val="00AB2C0C"/>
    <w:rsid w:val="00AB549D"/>
    <w:rsid w:val="00AB5C9E"/>
    <w:rsid w:val="00AB73E4"/>
    <w:rsid w:val="00AC0008"/>
    <w:rsid w:val="00AC05CF"/>
    <w:rsid w:val="00AC0F28"/>
    <w:rsid w:val="00AC101A"/>
    <w:rsid w:val="00AC1DA8"/>
    <w:rsid w:val="00AC3B66"/>
    <w:rsid w:val="00AC551B"/>
    <w:rsid w:val="00AC5727"/>
    <w:rsid w:val="00AC6A23"/>
    <w:rsid w:val="00AD0C66"/>
    <w:rsid w:val="00AD11E7"/>
    <w:rsid w:val="00AD2375"/>
    <w:rsid w:val="00AD28C0"/>
    <w:rsid w:val="00AD3D3B"/>
    <w:rsid w:val="00AD54D9"/>
    <w:rsid w:val="00AD5D8A"/>
    <w:rsid w:val="00AD750F"/>
    <w:rsid w:val="00AD764C"/>
    <w:rsid w:val="00AD7D2A"/>
    <w:rsid w:val="00AE618B"/>
    <w:rsid w:val="00AE6A8A"/>
    <w:rsid w:val="00AE6EAC"/>
    <w:rsid w:val="00AE7D8E"/>
    <w:rsid w:val="00AF2FDC"/>
    <w:rsid w:val="00AF37EA"/>
    <w:rsid w:val="00AF6AB5"/>
    <w:rsid w:val="00B0176B"/>
    <w:rsid w:val="00B03E56"/>
    <w:rsid w:val="00B05AA3"/>
    <w:rsid w:val="00B0719B"/>
    <w:rsid w:val="00B07F75"/>
    <w:rsid w:val="00B118FC"/>
    <w:rsid w:val="00B11AE2"/>
    <w:rsid w:val="00B1223D"/>
    <w:rsid w:val="00B13D19"/>
    <w:rsid w:val="00B1483F"/>
    <w:rsid w:val="00B1493C"/>
    <w:rsid w:val="00B207AA"/>
    <w:rsid w:val="00B20DAA"/>
    <w:rsid w:val="00B22E3C"/>
    <w:rsid w:val="00B24935"/>
    <w:rsid w:val="00B24F41"/>
    <w:rsid w:val="00B26C01"/>
    <w:rsid w:val="00B271BF"/>
    <w:rsid w:val="00B3044D"/>
    <w:rsid w:val="00B3149F"/>
    <w:rsid w:val="00B31F7E"/>
    <w:rsid w:val="00B339CC"/>
    <w:rsid w:val="00B33E34"/>
    <w:rsid w:val="00B3473C"/>
    <w:rsid w:val="00B3682A"/>
    <w:rsid w:val="00B4062D"/>
    <w:rsid w:val="00B4423E"/>
    <w:rsid w:val="00B452CD"/>
    <w:rsid w:val="00B47071"/>
    <w:rsid w:val="00B5034B"/>
    <w:rsid w:val="00B504C0"/>
    <w:rsid w:val="00B5152B"/>
    <w:rsid w:val="00B51DCB"/>
    <w:rsid w:val="00B5202B"/>
    <w:rsid w:val="00B52FFA"/>
    <w:rsid w:val="00B5466D"/>
    <w:rsid w:val="00B60129"/>
    <w:rsid w:val="00B61568"/>
    <w:rsid w:val="00B61EAE"/>
    <w:rsid w:val="00B62C57"/>
    <w:rsid w:val="00B63BBD"/>
    <w:rsid w:val="00B64413"/>
    <w:rsid w:val="00B662EC"/>
    <w:rsid w:val="00B6701E"/>
    <w:rsid w:val="00B70F9A"/>
    <w:rsid w:val="00B75570"/>
    <w:rsid w:val="00B819F1"/>
    <w:rsid w:val="00B82114"/>
    <w:rsid w:val="00B8346A"/>
    <w:rsid w:val="00B83AE1"/>
    <w:rsid w:val="00B847DE"/>
    <w:rsid w:val="00B85FDD"/>
    <w:rsid w:val="00B8715D"/>
    <w:rsid w:val="00B87163"/>
    <w:rsid w:val="00B908C4"/>
    <w:rsid w:val="00B90ED1"/>
    <w:rsid w:val="00B91EF9"/>
    <w:rsid w:val="00B91FED"/>
    <w:rsid w:val="00B93259"/>
    <w:rsid w:val="00B95EEE"/>
    <w:rsid w:val="00B96BBF"/>
    <w:rsid w:val="00B97ED9"/>
    <w:rsid w:val="00BA1B15"/>
    <w:rsid w:val="00BA358F"/>
    <w:rsid w:val="00BA48F6"/>
    <w:rsid w:val="00BA5A92"/>
    <w:rsid w:val="00BA65A9"/>
    <w:rsid w:val="00BA7310"/>
    <w:rsid w:val="00BB020E"/>
    <w:rsid w:val="00BB0CBB"/>
    <w:rsid w:val="00BB1B57"/>
    <w:rsid w:val="00BB7632"/>
    <w:rsid w:val="00BC0A98"/>
    <w:rsid w:val="00BC2389"/>
    <w:rsid w:val="00BC336F"/>
    <w:rsid w:val="00BC5DEA"/>
    <w:rsid w:val="00BC751D"/>
    <w:rsid w:val="00BD01EF"/>
    <w:rsid w:val="00BD0657"/>
    <w:rsid w:val="00BD0E52"/>
    <w:rsid w:val="00BD20F1"/>
    <w:rsid w:val="00BD7062"/>
    <w:rsid w:val="00BE1EEF"/>
    <w:rsid w:val="00BE5D39"/>
    <w:rsid w:val="00BE6D31"/>
    <w:rsid w:val="00BF1F2D"/>
    <w:rsid w:val="00BF2570"/>
    <w:rsid w:val="00BF4C41"/>
    <w:rsid w:val="00BF7CA0"/>
    <w:rsid w:val="00C00C48"/>
    <w:rsid w:val="00C00FBE"/>
    <w:rsid w:val="00C020AF"/>
    <w:rsid w:val="00C0327D"/>
    <w:rsid w:val="00C03B04"/>
    <w:rsid w:val="00C057BE"/>
    <w:rsid w:val="00C0630B"/>
    <w:rsid w:val="00C063AE"/>
    <w:rsid w:val="00C12D1C"/>
    <w:rsid w:val="00C1497C"/>
    <w:rsid w:val="00C20822"/>
    <w:rsid w:val="00C20C94"/>
    <w:rsid w:val="00C22EB6"/>
    <w:rsid w:val="00C23227"/>
    <w:rsid w:val="00C23282"/>
    <w:rsid w:val="00C234B4"/>
    <w:rsid w:val="00C261C7"/>
    <w:rsid w:val="00C305F5"/>
    <w:rsid w:val="00C32B08"/>
    <w:rsid w:val="00C3347A"/>
    <w:rsid w:val="00C33CB7"/>
    <w:rsid w:val="00C349E3"/>
    <w:rsid w:val="00C422F9"/>
    <w:rsid w:val="00C4457C"/>
    <w:rsid w:val="00C47BF5"/>
    <w:rsid w:val="00C50472"/>
    <w:rsid w:val="00C5180F"/>
    <w:rsid w:val="00C53613"/>
    <w:rsid w:val="00C5483B"/>
    <w:rsid w:val="00C566A7"/>
    <w:rsid w:val="00C578B4"/>
    <w:rsid w:val="00C607EC"/>
    <w:rsid w:val="00C6093F"/>
    <w:rsid w:val="00C60CCA"/>
    <w:rsid w:val="00C6238C"/>
    <w:rsid w:val="00C63559"/>
    <w:rsid w:val="00C63813"/>
    <w:rsid w:val="00C64930"/>
    <w:rsid w:val="00C64A59"/>
    <w:rsid w:val="00C64B55"/>
    <w:rsid w:val="00C6709F"/>
    <w:rsid w:val="00C75237"/>
    <w:rsid w:val="00C802A6"/>
    <w:rsid w:val="00C806A2"/>
    <w:rsid w:val="00C81310"/>
    <w:rsid w:val="00C84099"/>
    <w:rsid w:val="00C850CB"/>
    <w:rsid w:val="00C859A5"/>
    <w:rsid w:val="00C85F80"/>
    <w:rsid w:val="00C8757E"/>
    <w:rsid w:val="00C9299A"/>
    <w:rsid w:val="00C92C9D"/>
    <w:rsid w:val="00C9331D"/>
    <w:rsid w:val="00C93920"/>
    <w:rsid w:val="00C9757C"/>
    <w:rsid w:val="00CA362F"/>
    <w:rsid w:val="00CA503B"/>
    <w:rsid w:val="00CA5CE9"/>
    <w:rsid w:val="00CB439A"/>
    <w:rsid w:val="00CC15B4"/>
    <w:rsid w:val="00CC2DFB"/>
    <w:rsid w:val="00CC33BE"/>
    <w:rsid w:val="00CC55A2"/>
    <w:rsid w:val="00CC7075"/>
    <w:rsid w:val="00CC79EC"/>
    <w:rsid w:val="00CD069E"/>
    <w:rsid w:val="00CD27E4"/>
    <w:rsid w:val="00CD2A5A"/>
    <w:rsid w:val="00CD359D"/>
    <w:rsid w:val="00CD5291"/>
    <w:rsid w:val="00CD6196"/>
    <w:rsid w:val="00CD732D"/>
    <w:rsid w:val="00CE00E4"/>
    <w:rsid w:val="00CE025B"/>
    <w:rsid w:val="00CE62E0"/>
    <w:rsid w:val="00CE7589"/>
    <w:rsid w:val="00CF3944"/>
    <w:rsid w:val="00CF3E30"/>
    <w:rsid w:val="00CF43F9"/>
    <w:rsid w:val="00CF5E22"/>
    <w:rsid w:val="00CF7C05"/>
    <w:rsid w:val="00D00FF5"/>
    <w:rsid w:val="00D0315D"/>
    <w:rsid w:val="00D034EB"/>
    <w:rsid w:val="00D0534B"/>
    <w:rsid w:val="00D06ECC"/>
    <w:rsid w:val="00D12219"/>
    <w:rsid w:val="00D13A3F"/>
    <w:rsid w:val="00D13E4E"/>
    <w:rsid w:val="00D15445"/>
    <w:rsid w:val="00D15C6C"/>
    <w:rsid w:val="00D16A5E"/>
    <w:rsid w:val="00D17705"/>
    <w:rsid w:val="00D17E34"/>
    <w:rsid w:val="00D20382"/>
    <w:rsid w:val="00D23946"/>
    <w:rsid w:val="00D37884"/>
    <w:rsid w:val="00D37B66"/>
    <w:rsid w:val="00D403F3"/>
    <w:rsid w:val="00D41A3D"/>
    <w:rsid w:val="00D4505E"/>
    <w:rsid w:val="00D45321"/>
    <w:rsid w:val="00D46DEB"/>
    <w:rsid w:val="00D47A05"/>
    <w:rsid w:val="00D50946"/>
    <w:rsid w:val="00D5105C"/>
    <w:rsid w:val="00D5529A"/>
    <w:rsid w:val="00D55608"/>
    <w:rsid w:val="00D601EB"/>
    <w:rsid w:val="00D605A8"/>
    <w:rsid w:val="00D62810"/>
    <w:rsid w:val="00D7183C"/>
    <w:rsid w:val="00D71E2B"/>
    <w:rsid w:val="00D727D6"/>
    <w:rsid w:val="00D74A1C"/>
    <w:rsid w:val="00D758F2"/>
    <w:rsid w:val="00D76D8D"/>
    <w:rsid w:val="00D83012"/>
    <w:rsid w:val="00D83205"/>
    <w:rsid w:val="00D85731"/>
    <w:rsid w:val="00D85A65"/>
    <w:rsid w:val="00D85ABE"/>
    <w:rsid w:val="00D91744"/>
    <w:rsid w:val="00D91AF7"/>
    <w:rsid w:val="00D94314"/>
    <w:rsid w:val="00D9435D"/>
    <w:rsid w:val="00D94655"/>
    <w:rsid w:val="00D94DF6"/>
    <w:rsid w:val="00DA0809"/>
    <w:rsid w:val="00DA1960"/>
    <w:rsid w:val="00DA5052"/>
    <w:rsid w:val="00DB07D2"/>
    <w:rsid w:val="00DB5077"/>
    <w:rsid w:val="00DB50B8"/>
    <w:rsid w:val="00DB796D"/>
    <w:rsid w:val="00DC01D2"/>
    <w:rsid w:val="00DC03A1"/>
    <w:rsid w:val="00DC069B"/>
    <w:rsid w:val="00DC101E"/>
    <w:rsid w:val="00DC3293"/>
    <w:rsid w:val="00DC5695"/>
    <w:rsid w:val="00DC5ECE"/>
    <w:rsid w:val="00DC6DB2"/>
    <w:rsid w:val="00DD1CEA"/>
    <w:rsid w:val="00DD27AA"/>
    <w:rsid w:val="00DD4DD7"/>
    <w:rsid w:val="00DD6329"/>
    <w:rsid w:val="00DE19FE"/>
    <w:rsid w:val="00DE3B8D"/>
    <w:rsid w:val="00DE46A0"/>
    <w:rsid w:val="00DE4A86"/>
    <w:rsid w:val="00DE584C"/>
    <w:rsid w:val="00DE630E"/>
    <w:rsid w:val="00DE6E1E"/>
    <w:rsid w:val="00DF361E"/>
    <w:rsid w:val="00DF399F"/>
    <w:rsid w:val="00DF5944"/>
    <w:rsid w:val="00DF7502"/>
    <w:rsid w:val="00E00069"/>
    <w:rsid w:val="00E01960"/>
    <w:rsid w:val="00E02183"/>
    <w:rsid w:val="00E02DEB"/>
    <w:rsid w:val="00E03872"/>
    <w:rsid w:val="00E05154"/>
    <w:rsid w:val="00E07DEB"/>
    <w:rsid w:val="00E101AF"/>
    <w:rsid w:val="00E133CA"/>
    <w:rsid w:val="00E14136"/>
    <w:rsid w:val="00E14182"/>
    <w:rsid w:val="00E142E8"/>
    <w:rsid w:val="00E14366"/>
    <w:rsid w:val="00E152D6"/>
    <w:rsid w:val="00E2027A"/>
    <w:rsid w:val="00E20550"/>
    <w:rsid w:val="00E20E8B"/>
    <w:rsid w:val="00E21925"/>
    <w:rsid w:val="00E228A1"/>
    <w:rsid w:val="00E2317A"/>
    <w:rsid w:val="00E23BF7"/>
    <w:rsid w:val="00E32185"/>
    <w:rsid w:val="00E325F2"/>
    <w:rsid w:val="00E3370D"/>
    <w:rsid w:val="00E33A1C"/>
    <w:rsid w:val="00E369E7"/>
    <w:rsid w:val="00E36CC0"/>
    <w:rsid w:val="00E37CE8"/>
    <w:rsid w:val="00E408EB"/>
    <w:rsid w:val="00E47522"/>
    <w:rsid w:val="00E47FC1"/>
    <w:rsid w:val="00E5033F"/>
    <w:rsid w:val="00E52729"/>
    <w:rsid w:val="00E52E03"/>
    <w:rsid w:val="00E54156"/>
    <w:rsid w:val="00E555F4"/>
    <w:rsid w:val="00E5579E"/>
    <w:rsid w:val="00E5636F"/>
    <w:rsid w:val="00E606A0"/>
    <w:rsid w:val="00E61402"/>
    <w:rsid w:val="00E61CAC"/>
    <w:rsid w:val="00E63B79"/>
    <w:rsid w:val="00E65AC7"/>
    <w:rsid w:val="00E66875"/>
    <w:rsid w:val="00E66B9A"/>
    <w:rsid w:val="00E66C29"/>
    <w:rsid w:val="00E671C5"/>
    <w:rsid w:val="00E67FCC"/>
    <w:rsid w:val="00E7221A"/>
    <w:rsid w:val="00E726A9"/>
    <w:rsid w:val="00E7645A"/>
    <w:rsid w:val="00E81D7C"/>
    <w:rsid w:val="00E82439"/>
    <w:rsid w:val="00E83FB0"/>
    <w:rsid w:val="00E8421F"/>
    <w:rsid w:val="00E86139"/>
    <w:rsid w:val="00E86B71"/>
    <w:rsid w:val="00E90F1E"/>
    <w:rsid w:val="00E94F68"/>
    <w:rsid w:val="00E96E45"/>
    <w:rsid w:val="00E97311"/>
    <w:rsid w:val="00EA1021"/>
    <w:rsid w:val="00EA1CCE"/>
    <w:rsid w:val="00EA1F13"/>
    <w:rsid w:val="00EA4E1A"/>
    <w:rsid w:val="00EB2269"/>
    <w:rsid w:val="00EB7D26"/>
    <w:rsid w:val="00EC47D6"/>
    <w:rsid w:val="00EC4C93"/>
    <w:rsid w:val="00EC55D9"/>
    <w:rsid w:val="00EC6E88"/>
    <w:rsid w:val="00ED2B47"/>
    <w:rsid w:val="00EE0BFB"/>
    <w:rsid w:val="00EE16CE"/>
    <w:rsid w:val="00EE1A81"/>
    <w:rsid w:val="00EE5837"/>
    <w:rsid w:val="00EE638F"/>
    <w:rsid w:val="00EE7193"/>
    <w:rsid w:val="00EE71A0"/>
    <w:rsid w:val="00EF12E3"/>
    <w:rsid w:val="00EF2971"/>
    <w:rsid w:val="00EF3087"/>
    <w:rsid w:val="00EF79D3"/>
    <w:rsid w:val="00F008BC"/>
    <w:rsid w:val="00F0197C"/>
    <w:rsid w:val="00F02612"/>
    <w:rsid w:val="00F03672"/>
    <w:rsid w:val="00F04646"/>
    <w:rsid w:val="00F046A7"/>
    <w:rsid w:val="00F11324"/>
    <w:rsid w:val="00F11B9A"/>
    <w:rsid w:val="00F13238"/>
    <w:rsid w:val="00F132FB"/>
    <w:rsid w:val="00F14399"/>
    <w:rsid w:val="00F14513"/>
    <w:rsid w:val="00F154F5"/>
    <w:rsid w:val="00F201A6"/>
    <w:rsid w:val="00F22DB8"/>
    <w:rsid w:val="00F2759B"/>
    <w:rsid w:val="00F32036"/>
    <w:rsid w:val="00F32B55"/>
    <w:rsid w:val="00F33600"/>
    <w:rsid w:val="00F343B0"/>
    <w:rsid w:val="00F34B0D"/>
    <w:rsid w:val="00F35B4E"/>
    <w:rsid w:val="00F407C1"/>
    <w:rsid w:val="00F40D8A"/>
    <w:rsid w:val="00F40F9F"/>
    <w:rsid w:val="00F41465"/>
    <w:rsid w:val="00F42856"/>
    <w:rsid w:val="00F4312E"/>
    <w:rsid w:val="00F458D0"/>
    <w:rsid w:val="00F51B16"/>
    <w:rsid w:val="00F53095"/>
    <w:rsid w:val="00F538C3"/>
    <w:rsid w:val="00F53F93"/>
    <w:rsid w:val="00F55E07"/>
    <w:rsid w:val="00F57A42"/>
    <w:rsid w:val="00F60564"/>
    <w:rsid w:val="00F62A3B"/>
    <w:rsid w:val="00F63E17"/>
    <w:rsid w:val="00F63FE4"/>
    <w:rsid w:val="00F65250"/>
    <w:rsid w:val="00F712F5"/>
    <w:rsid w:val="00F71623"/>
    <w:rsid w:val="00F71DF3"/>
    <w:rsid w:val="00F744A3"/>
    <w:rsid w:val="00F75365"/>
    <w:rsid w:val="00F75D0C"/>
    <w:rsid w:val="00F770AC"/>
    <w:rsid w:val="00F77229"/>
    <w:rsid w:val="00F818F1"/>
    <w:rsid w:val="00F826E7"/>
    <w:rsid w:val="00F83F96"/>
    <w:rsid w:val="00F84F0E"/>
    <w:rsid w:val="00F87EA9"/>
    <w:rsid w:val="00F87EDF"/>
    <w:rsid w:val="00F91BC3"/>
    <w:rsid w:val="00F924B9"/>
    <w:rsid w:val="00F936E3"/>
    <w:rsid w:val="00F94CAC"/>
    <w:rsid w:val="00F96CD6"/>
    <w:rsid w:val="00FA05DD"/>
    <w:rsid w:val="00FA0EC6"/>
    <w:rsid w:val="00FA12E7"/>
    <w:rsid w:val="00FA20D1"/>
    <w:rsid w:val="00FA2244"/>
    <w:rsid w:val="00FA5FC7"/>
    <w:rsid w:val="00FA6F8A"/>
    <w:rsid w:val="00FB14EA"/>
    <w:rsid w:val="00FB1F95"/>
    <w:rsid w:val="00FB2337"/>
    <w:rsid w:val="00FB35A2"/>
    <w:rsid w:val="00FB3EFA"/>
    <w:rsid w:val="00FC0001"/>
    <w:rsid w:val="00FC16D3"/>
    <w:rsid w:val="00FC20AA"/>
    <w:rsid w:val="00FC26C9"/>
    <w:rsid w:val="00FC510B"/>
    <w:rsid w:val="00FD0C17"/>
    <w:rsid w:val="00FD228C"/>
    <w:rsid w:val="00FD2465"/>
    <w:rsid w:val="00FD2ACE"/>
    <w:rsid w:val="00FD4C26"/>
    <w:rsid w:val="00FD7C18"/>
    <w:rsid w:val="00FE0AFB"/>
    <w:rsid w:val="00FE13BB"/>
    <w:rsid w:val="00FE4494"/>
    <w:rsid w:val="00FE6486"/>
    <w:rsid w:val="00FF2F7C"/>
    <w:rsid w:val="00FF4D6F"/>
    <w:rsid w:val="00FF5991"/>
    <w:rsid w:val="00FF6B0F"/>
    <w:rsid w:val="00FF6FB0"/>
    <w:rsid w:val="025760AE"/>
    <w:rsid w:val="055C1FB3"/>
    <w:rsid w:val="0A586D4E"/>
    <w:rsid w:val="0B1E5DA8"/>
    <w:rsid w:val="0E5D04A7"/>
    <w:rsid w:val="1105365B"/>
    <w:rsid w:val="136B5D35"/>
    <w:rsid w:val="17E160F1"/>
    <w:rsid w:val="19222087"/>
    <w:rsid w:val="193A0628"/>
    <w:rsid w:val="19E60071"/>
    <w:rsid w:val="1B5D3A64"/>
    <w:rsid w:val="23BF7FF9"/>
    <w:rsid w:val="29886828"/>
    <w:rsid w:val="29A16ED8"/>
    <w:rsid w:val="2A994DAD"/>
    <w:rsid w:val="38DF25C7"/>
    <w:rsid w:val="391A61F3"/>
    <w:rsid w:val="3E9D0658"/>
    <w:rsid w:val="40AD662C"/>
    <w:rsid w:val="44750984"/>
    <w:rsid w:val="48325321"/>
    <w:rsid w:val="4A2C6452"/>
    <w:rsid w:val="4B2A0E81"/>
    <w:rsid w:val="4F7954D3"/>
    <w:rsid w:val="50D60368"/>
    <w:rsid w:val="5C0214CD"/>
    <w:rsid w:val="5C7F3B82"/>
    <w:rsid w:val="5CFA69FD"/>
    <w:rsid w:val="5D1C38C7"/>
    <w:rsid w:val="5EFA4FE7"/>
    <w:rsid w:val="62B2698A"/>
    <w:rsid w:val="62E6409C"/>
    <w:rsid w:val="66476069"/>
    <w:rsid w:val="68D305FB"/>
    <w:rsid w:val="69A65EDB"/>
    <w:rsid w:val="6F5308AD"/>
    <w:rsid w:val="706968DD"/>
    <w:rsid w:val="71B97284"/>
    <w:rsid w:val="79EE323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Default Paragraph Font" w:uiPriority="1" w:unhideWhenUsed="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lsdException w:name="Normal Table" w:uiPriority="99" w:unhideWhenUsed="1" w:qFormat="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F399F"/>
    <w:pPr>
      <w:widowControl w:val="0"/>
      <w:jc w:val="both"/>
    </w:pPr>
    <w:rPr>
      <w:kern w:val="2"/>
      <w:sz w:val="21"/>
      <w:szCs w:val="24"/>
    </w:rPr>
  </w:style>
  <w:style w:type="paragraph" w:styleId="1">
    <w:name w:val="heading 1"/>
    <w:basedOn w:val="a"/>
    <w:next w:val="a"/>
    <w:qFormat/>
    <w:rsid w:val="00DF399F"/>
    <w:pPr>
      <w:spacing w:line="360" w:lineRule="auto"/>
      <w:ind w:left="641" w:firstLineChars="200" w:firstLine="643"/>
      <w:outlineLvl w:val="0"/>
    </w:pPr>
    <w:rPr>
      <w:rFonts w:ascii="宋体" w:hAnsi="宋体"/>
      <w:b/>
      <w:bCs/>
      <w:snapToGrid w:val="0"/>
      <w:color w:val="FF0000"/>
      <w:kern w:val="0"/>
      <w:sz w:val="32"/>
      <w:szCs w:val="32"/>
    </w:rPr>
  </w:style>
  <w:style w:type="paragraph" w:styleId="2">
    <w:name w:val="heading 2"/>
    <w:basedOn w:val="a"/>
    <w:next w:val="a"/>
    <w:qFormat/>
    <w:rsid w:val="00DF399F"/>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rsid w:val="00DF399F"/>
    <w:pPr>
      <w:jc w:val="left"/>
    </w:pPr>
  </w:style>
  <w:style w:type="character" w:customStyle="1" w:styleId="Char">
    <w:name w:val="批注文字 Char"/>
    <w:link w:val="a3"/>
    <w:rsid w:val="00DF399F"/>
    <w:rPr>
      <w:kern w:val="2"/>
      <w:sz w:val="21"/>
      <w:szCs w:val="24"/>
    </w:rPr>
  </w:style>
  <w:style w:type="paragraph" w:styleId="a4">
    <w:name w:val="Balloon Text"/>
    <w:basedOn w:val="a"/>
    <w:semiHidden/>
    <w:rsid w:val="00DF399F"/>
    <w:rPr>
      <w:sz w:val="18"/>
      <w:szCs w:val="18"/>
    </w:rPr>
  </w:style>
  <w:style w:type="paragraph" w:styleId="a5">
    <w:name w:val="footer"/>
    <w:basedOn w:val="a"/>
    <w:link w:val="Char0"/>
    <w:uiPriority w:val="99"/>
    <w:rsid w:val="00DF399F"/>
    <w:pPr>
      <w:tabs>
        <w:tab w:val="center" w:pos="4153"/>
        <w:tab w:val="right" w:pos="8306"/>
      </w:tabs>
      <w:snapToGrid w:val="0"/>
      <w:jc w:val="left"/>
    </w:pPr>
    <w:rPr>
      <w:sz w:val="18"/>
      <w:szCs w:val="18"/>
    </w:rPr>
  </w:style>
  <w:style w:type="character" w:customStyle="1" w:styleId="Char0">
    <w:name w:val="页脚 Char"/>
    <w:link w:val="a5"/>
    <w:uiPriority w:val="99"/>
    <w:rsid w:val="00DF399F"/>
    <w:rPr>
      <w:kern w:val="2"/>
      <w:sz w:val="18"/>
      <w:szCs w:val="18"/>
    </w:rPr>
  </w:style>
  <w:style w:type="paragraph" w:styleId="a6">
    <w:name w:val="header"/>
    <w:basedOn w:val="a"/>
    <w:link w:val="Char1"/>
    <w:rsid w:val="00DF399F"/>
    <w:pPr>
      <w:pBdr>
        <w:bottom w:val="single" w:sz="6" w:space="1" w:color="auto"/>
      </w:pBdr>
      <w:tabs>
        <w:tab w:val="center" w:pos="4153"/>
        <w:tab w:val="right" w:pos="8306"/>
      </w:tabs>
      <w:snapToGrid w:val="0"/>
      <w:jc w:val="center"/>
    </w:pPr>
    <w:rPr>
      <w:sz w:val="18"/>
      <w:szCs w:val="18"/>
    </w:rPr>
  </w:style>
  <w:style w:type="character" w:customStyle="1" w:styleId="Char1">
    <w:name w:val="页眉 Char"/>
    <w:link w:val="a6"/>
    <w:rsid w:val="00DF399F"/>
    <w:rPr>
      <w:kern w:val="2"/>
      <w:sz w:val="18"/>
      <w:szCs w:val="18"/>
    </w:rPr>
  </w:style>
  <w:style w:type="paragraph" w:styleId="10">
    <w:name w:val="toc 1"/>
    <w:basedOn w:val="a"/>
    <w:next w:val="a"/>
    <w:uiPriority w:val="39"/>
    <w:rsid w:val="00DF399F"/>
    <w:pPr>
      <w:tabs>
        <w:tab w:val="right" w:leader="dot" w:pos="8296"/>
      </w:tabs>
      <w:spacing w:line="360" w:lineRule="auto"/>
    </w:pPr>
    <w:rPr>
      <w:rFonts w:ascii="仿宋_GB2312" w:eastAsia="仿宋_GB2312"/>
      <w:b/>
      <w:sz w:val="32"/>
      <w:szCs w:val="32"/>
    </w:rPr>
  </w:style>
  <w:style w:type="paragraph" w:styleId="20">
    <w:name w:val="toc 2"/>
    <w:basedOn w:val="a"/>
    <w:next w:val="a"/>
    <w:uiPriority w:val="39"/>
    <w:rsid w:val="00DF399F"/>
    <w:pPr>
      <w:tabs>
        <w:tab w:val="right" w:leader="dot" w:pos="8296"/>
      </w:tabs>
      <w:ind w:leftChars="200" w:left="420"/>
    </w:pPr>
  </w:style>
  <w:style w:type="paragraph" w:styleId="a7">
    <w:name w:val="Normal (Web)"/>
    <w:basedOn w:val="a"/>
    <w:uiPriority w:val="99"/>
    <w:unhideWhenUsed/>
    <w:rsid w:val="00DF399F"/>
    <w:pPr>
      <w:widowControl/>
      <w:spacing w:before="100" w:beforeAutospacing="1" w:after="100" w:afterAutospacing="1"/>
      <w:jc w:val="left"/>
    </w:pPr>
    <w:rPr>
      <w:rFonts w:ascii="宋体" w:hAnsi="宋体" w:cs="宋体"/>
      <w:kern w:val="0"/>
      <w:sz w:val="24"/>
    </w:rPr>
  </w:style>
  <w:style w:type="paragraph" w:styleId="a8">
    <w:name w:val="annotation subject"/>
    <w:basedOn w:val="a3"/>
    <w:next w:val="a3"/>
    <w:semiHidden/>
    <w:rsid w:val="00DF399F"/>
    <w:rPr>
      <w:b/>
      <w:bCs/>
    </w:rPr>
  </w:style>
  <w:style w:type="table" w:styleId="a9">
    <w:name w:val="Table Grid"/>
    <w:basedOn w:val="a1"/>
    <w:rsid w:val="00DF39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qFormat/>
    <w:rsid w:val="00DF399F"/>
    <w:rPr>
      <w:b/>
      <w:bCs/>
    </w:rPr>
  </w:style>
  <w:style w:type="character" w:styleId="ab">
    <w:name w:val="page number"/>
    <w:basedOn w:val="a0"/>
    <w:rsid w:val="00DF399F"/>
  </w:style>
  <w:style w:type="character" w:styleId="ac">
    <w:name w:val="Hyperlink"/>
    <w:uiPriority w:val="99"/>
    <w:rsid w:val="00DF399F"/>
    <w:rPr>
      <w:color w:val="0000FF"/>
      <w:u w:val="single"/>
    </w:rPr>
  </w:style>
  <w:style w:type="character" w:styleId="ad">
    <w:name w:val="annotation reference"/>
    <w:rsid w:val="00DF399F"/>
    <w:rPr>
      <w:sz w:val="21"/>
      <w:szCs w:val="21"/>
    </w:rPr>
  </w:style>
  <w:style w:type="character" w:customStyle="1" w:styleId="1Char">
    <w:name w:val="样式1 Char"/>
    <w:basedOn w:val="Char1"/>
    <w:link w:val="11"/>
    <w:rsid w:val="00DF399F"/>
  </w:style>
  <w:style w:type="paragraph" w:customStyle="1" w:styleId="11">
    <w:name w:val="样式1"/>
    <w:basedOn w:val="a6"/>
    <w:next w:val="a"/>
    <w:link w:val="1Char"/>
    <w:qFormat/>
    <w:rsid w:val="00DF399F"/>
  </w:style>
  <w:style w:type="character" w:customStyle="1" w:styleId="title">
    <w:name w:val="title"/>
    <w:basedOn w:val="a0"/>
    <w:rsid w:val="00DF399F"/>
  </w:style>
  <w:style w:type="character" w:customStyle="1" w:styleId="2Char">
    <w:name w:val="样式2 Char"/>
    <w:link w:val="21"/>
    <w:rsid w:val="00DF399F"/>
    <w:rPr>
      <w:kern w:val="2"/>
      <w:sz w:val="21"/>
      <w:szCs w:val="24"/>
    </w:rPr>
  </w:style>
  <w:style w:type="paragraph" w:customStyle="1" w:styleId="21">
    <w:name w:val="样式2"/>
    <w:basedOn w:val="a"/>
    <w:link w:val="2Char"/>
    <w:qFormat/>
    <w:rsid w:val="00DF399F"/>
  </w:style>
  <w:style w:type="paragraph" w:customStyle="1" w:styleId="Char2">
    <w:name w:val="Char"/>
    <w:basedOn w:val="a"/>
    <w:semiHidden/>
    <w:rsid w:val="00DF399F"/>
    <w:pPr>
      <w:widowControl/>
      <w:spacing w:after="160" w:line="240" w:lineRule="exact"/>
      <w:jc w:val="left"/>
    </w:pPr>
    <w:rPr>
      <w:rFonts w:ascii="Arial" w:hAnsi="Arial"/>
      <w:kern w:val="0"/>
      <w:sz w:val="22"/>
      <w:szCs w:val="22"/>
      <w:lang w:eastAsia="en-US"/>
    </w:rPr>
  </w:style>
  <w:style w:type="paragraph" w:styleId="ae">
    <w:name w:val="List Paragraph"/>
    <w:basedOn w:val="a"/>
    <w:uiPriority w:val="34"/>
    <w:qFormat/>
    <w:rsid w:val="00DF399F"/>
    <w:pPr>
      <w:widowControl/>
      <w:ind w:firstLineChars="200" w:firstLine="420"/>
      <w:jc w:val="left"/>
    </w:pPr>
    <w:rPr>
      <w:rFonts w:ascii="宋体" w:hAnsi="宋体" w:cs="宋体"/>
      <w:kern w:val="0"/>
      <w:sz w:val="24"/>
    </w:rPr>
  </w:style>
  <w:style w:type="paragraph" w:styleId="3">
    <w:name w:val="toc 3"/>
    <w:basedOn w:val="a"/>
    <w:next w:val="a"/>
    <w:autoRedefine/>
    <w:uiPriority w:val="39"/>
    <w:unhideWhenUsed/>
    <w:rsid w:val="0077616C"/>
    <w:pPr>
      <w:ind w:leftChars="400" w:left="840"/>
    </w:pPr>
    <w:rPr>
      <w:szCs w:val="22"/>
    </w:rPr>
  </w:style>
  <w:style w:type="paragraph" w:styleId="4">
    <w:name w:val="toc 4"/>
    <w:basedOn w:val="a"/>
    <w:next w:val="a"/>
    <w:autoRedefine/>
    <w:uiPriority w:val="39"/>
    <w:unhideWhenUsed/>
    <w:rsid w:val="0077616C"/>
    <w:pPr>
      <w:ind w:leftChars="600" w:left="1260"/>
    </w:pPr>
    <w:rPr>
      <w:szCs w:val="22"/>
    </w:rPr>
  </w:style>
  <w:style w:type="paragraph" w:styleId="5">
    <w:name w:val="toc 5"/>
    <w:basedOn w:val="a"/>
    <w:next w:val="a"/>
    <w:autoRedefine/>
    <w:uiPriority w:val="39"/>
    <w:unhideWhenUsed/>
    <w:rsid w:val="0077616C"/>
    <w:pPr>
      <w:ind w:leftChars="800" w:left="1680"/>
    </w:pPr>
    <w:rPr>
      <w:szCs w:val="22"/>
    </w:rPr>
  </w:style>
  <w:style w:type="paragraph" w:styleId="6">
    <w:name w:val="toc 6"/>
    <w:basedOn w:val="a"/>
    <w:next w:val="a"/>
    <w:autoRedefine/>
    <w:uiPriority w:val="39"/>
    <w:unhideWhenUsed/>
    <w:rsid w:val="0077616C"/>
    <w:pPr>
      <w:ind w:leftChars="1000" w:left="2100"/>
    </w:pPr>
    <w:rPr>
      <w:szCs w:val="22"/>
    </w:rPr>
  </w:style>
  <w:style w:type="paragraph" w:styleId="7">
    <w:name w:val="toc 7"/>
    <w:basedOn w:val="a"/>
    <w:next w:val="a"/>
    <w:autoRedefine/>
    <w:uiPriority w:val="39"/>
    <w:unhideWhenUsed/>
    <w:rsid w:val="0077616C"/>
    <w:pPr>
      <w:ind w:leftChars="1200" w:left="2520"/>
    </w:pPr>
    <w:rPr>
      <w:szCs w:val="22"/>
    </w:rPr>
  </w:style>
  <w:style w:type="paragraph" w:styleId="8">
    <w:name w:val="toc 8"/>
    <w:basedOn w:val="a"/>
    <w:next w:val="a"/>
    <w:autoRedefine/>
    <w:uiPriority w:val="39"/>
    <w:unhideWhenUsed/>
    <w:rsid w:val="0077616C"/>
    <w:pPr>
      <w:ind w:leftChars="1400" w:left="2940"/>
    </w:pPr>
    <w:rPr>
      <w:szCs w:val="22"/>
    </w:rPr>
  </w:style>
  <w:style w:type="paragraph" w:styleId="9">
    <w:name w:val="toc 9"/>
    <w:basedOn w:val="a"/>
    <w:next w:val="a"/>
    <w:autoRedefine/>
    <w:uiPriority w:val="39"/>
    <w:unhideWhenUsed/>
    <w:rsid w:val="0077616C"/>
    <w:pPr>
      <w:ind w:leftChars="1600" w:left="3360"/>
    </w:pPr>
    <w:rPr>
      <w:szCs w:val="22"/>
    </w:rPr>
  </w:style>
</w:styles>
</file>

<file path=word/webSettings.xml><?xml version="1.0" encoding="utf-8"?>
<w:webSettings xmlns:r="http://schemas.openxmlformats.org/officeDocument/2006/relationships" xmlns:w="http://schemas.openxmlformats.org/wordprocessingml/2006/main">
  <w:divs>
    <w:div w:id="452404649">
      <w:bodyDiv w:val="1"/>
      <w:marLeft w:val="0"/>
      <w:marRight w:val="0"/>
      <w:marTop w:val="0"/>
      <w:marBottom w:val="0"/>
      <w:divBdr>
        <w:top w:val="none" w:sz="0" w:space="0" w:color="auto"/>
        <w:left w:val="none" w:sz="0" w:space="0" w:color="auto"/>
        <w:bottom w:val="none" w:sz="0" w:space="0" w:color="auto"/>
        <w:right w:val="none" w:sz="0" w:space="0" w:color="auto"/>
      </w:divBdr>
    </w:div>
    <w:div w:id="1100953046">
      <w:bodyDiv w:val="1"/>
      <w:marLeft w:val="0"/>
      <w:marRight w:val="0"/>
      <w:marTop w:val="0"/>
      <w:marBottom w:val="0"/>
      <w:divBdr>
        <w:top w:val="none" w:sz="0" w:space="0" w:color="auto"/>
        <w:left w:val="none" w:sz="0" w:space="0" w:color="auto"/>
        <w:bottom w:val="none" w:sz="0" w:space="0" w:color="auto"/>
        <w:right w:val="none" w:sz="0" w:space="0" w:color="auto"/>
      </w:divBdr>
    </w:div>
    <w:div w:id="1706523617">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jpeg"/><Relationship Id="rId18" Type="http://schemas.openxmlformats.org/officeDocument/2006/relationships/image" Target="media/image4.jpeg"/><Relationship Id="rId3" Type="http://schemas.openxmlformats.org/officeDocument/2006/relationships/settings" Target="settings.xml"/><Relationship Id="rId21" Type="http://schemas.openxmlformats.org/officeDocument/2006/relationships/footer" Target="footer6.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image" Target="media/image3.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image" Target="media/image6.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image" Target="media/image7.png"/><Relationship Id="rId10" Type="http://schemas.openxmlformats.org/officeDocument/2006/relationships/footer" Target="footer2.xml"/><Relationship Id="rId19"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jpeg"/><Relationship Id="rId22" Type="http://schemas.openxmlformats.org/officeDocument/2006/relationships/footer" Target="footer7.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26</Pages>
  <Words>2234</Words>
  <Characters>12734</Characters>
  <Application>Microsoft Office Word</Application>
  <DocSecurity>0</DocSecurity>
  <Lines>106</Lines>
  <Paragraphs>29</Paragraphs>
  <ScaleCrop>false</ScaleCrop>
  <Company>Lenovo (Beijing) Limited</Company>
  <LinksUpToDate>false</LinksUpToDate>
  <CharactersWithSpaces>14939</CharactersWithSpaces>
  <SharedDoc>false</SharedDoc>
  <HLinks>
    <vt:vector size="108" baseType="variant">
      <vt:variant>
        <vt:i4>1310770</vt:i4>
      </vt:variant>
      <vt:variant>
        <vt:i4>104</vt:i4>
      </vt:variant>
      <vt:variant>
        <vt:i4>0</vt:i4>
      </vt:variant>
      <vt:variant>
        <vt:i4>5</vt:i4>
      </vt:variant>
      <vt:variant>
        <vt:lpwstr/>
      </vt:variant>
      <vt:variant>
        <vt:lpwstr>_Toc72500607</vt:lpwstr>
      </vt:variant>
      <vt:variant>
        <vt:i4>1376306</vt:i4>
      </vt:variant>
      <vt:variant>
        <vt:i4>98</vt:i4>
      </vt:variant>
      <vt:variant>
        <vt:i4>0</vt:i4>
      </vt:variant>
      <vt:variant>
        <vt:i4>5</vt:i4>
      </vt:variant>
      <vt:variant>
        <vt:lpwstr/>
      </vt:variant>
      <vt:variant>
        <vt:lpwstr>_Toc72500606</vt:lpwstr>
      </vt:variant>
      <vt:variant>
        <vt:i4>1441842</vt:i4>
      </vt:variant>
      <vt:variant>
        <vt:i4>92</vt:i4>
      </vt:variant>
      <vt:variant>
        <vt:i4>0</vt:i4>
      </vt:variant>
      <vt:variant>
        <vt:i4>5</vt:i4>
      </vt:variant>
      <vt:variant>
        <vt:lpwstr/>
      </vt:variant>
      <vt:variant>
        <vt:lpwstr>_Toc72500605</vt:lpwstr>
      </vt:variant>
      <vt:variant>
        <vt:i4>1507378</vt:i4>
      </vt:variant>
      <vt:variant>
        <vt:i4>86</vt:i4>
      </vt:variant>
      <vt:variant>
        <vt:i4>0</vt:i4>
      </vt:variant>
      <vt:variant>
        <vt:i4>5</vt:i4>
      </vt:variant>
      <vt:variant>
        <vt:lpwstr/>
      </vt:variant>
      <vt:variant>
        <vt:lpwstr>_Toc72500604</vt:lpwstr>
      </vt:variant>
      <vt:variant>
        <vt:i4>1048626</vt:i4>
      </vt:variant>
      <vt:variant>
        <vt:i4>80</vt:i4>
      </vt:variant>
      <vt:variant>
        <vt:i4>0</vt:i4>
      </vt:variant>
      <vt:variant>
        <vt:i4>5</vt:i4>
      </vt:variant>
      <vt:variant>
        <vt:lpwstr/>
      </vt:variant>
      <vt:variant>
        <vt:lpwstr>_Toc72500603</vt:lpwstr>
      </vt:variant>
      <vt:variant>
        <vt:i4>1114162</vt:i4>
      </vt:variant>
      <vt:variant>
        <vt:i4>74</vt:i4>
      </vt:variant>
      <vt:variant>
        <vt:i4>0</vt:i4>
      </vt:variant>
      <vt:variant>
        <vt:i4>5</vt:i4>
      </vt:variant>
      <vt:variant>
        <vt:lpwstr/>
      </vt:variant>
      <vt:variant>
        <vt:lpwstr>_Toc72500602</vt:lpwstr>
      </vt:variant>
      <vt:variant>
        <vt:i4>1179698</vt:i4>
      </vt:variant>
      <vt:variant>
        <vt:i4>68</vt:i4>
      </vt:variant>
      <vt:variant>
        <vt:i4>0</vt:i4>
      </vt:variant>
      <vt:variant>
        <vt:i4>5</vt:i4>
      </vt:variant>
      <vt:variant>
        <vt:lpwstr/>
      </vt:variant>
      <vt:variant>
        <vt:lpwstr>_Toc72500601</vt:lpwstr>
      </vt:variant>
      <vt:variant>
        <vt:i4>1245234</vt:i4>
      </vt:variant>
      <vt:variant>
        <vt:i4>62</vt:i4>
      </vt:variant>
      <vt:variant>
        <vt:i4>0</vt:i4>
      </vt:variant>
      <vt:variant>
        <vt:i4>5</vt:i4>
      </vt:variant>
      <vt:variant>
        <vt:lpwstr/>
      </vt:variant>
      <vt:variant>
        <vt:lpwstr>_Toc72500600</vt:lpwstr>
      </vt:variant>
      <vt:variant>
        <vt:i4>1638459</vt:i4>
      </vt:variant>
      <vt:variant>
        <vt:i4>56</vt:i4>
      </vt:variant>
      <vt:variant>
        <vt:i4>0</vt:i4>
      </vt:variant>
      <vt:variant>
        <vt:i4>5</vt:i4>
      </vt:variant>
      <vt:variant>
        <vt:lpwstr/>
      </vt:variant>
      <vt:variant>
        <vt:lpwstr>_Toc72500599</vt:lpwstr>
      </vt:variant>
      <vt:variant>
        <vt:i4>1572923</vt:i4>
      </vt:variant>
      <vt:variant>
        <vt:i4>50</vt:i4>
      </vt:variant>
      <vt:variant>
        <vt:i4>0</vt:i4>
      </vt:variant>
      <vt:variant>
        <vt:i4>5</vt:i4>
      </vt:variant>
      <vt:variant>
        <vt:lpwstr/>
      </vt:variant>
      <vt:variant>
        <vt:lpwstr>_Toc72500598</vt:lpwstr>
      </vt:variant>
      <vt:variant>
        <vt:i4>1507387</vt:i4>
      </vt:variant>
      <vt:variant>
        <vt:i4>44</vt:i4>
      </vt:variant>
      <vt:variant>
        <vt:i4>0</vt:i4>
      </vt:variant>
      <vt:variant>
        <vt:i4>5</vt:i4>
      </vt:variant>
      <vt:variant>
        <vt:lpwstr/>
      </vt:variant>
      <vt:variant>
        <vt:lpwstr>_Toc72500597</vt:lpwstr>
      </vt:variant>
      <vt:variant>
        <vt:i4>1441851</vt:i4>
      </vt:variant>
      <vt:variant>
        <vt:i4>38</vt:i4>
      </vt:variant>
      <vt:variant>
        <vt:i4>0</vt:i4>
      </vt:variant>
      <vt:variant>
        <vt:i4>5</vt:i4>
      </vt:variant>
      <vt:variant>
        <vt:lpwstr/>
      </vt:variant>
      <vt:variant>
        <vt:lpwstr>_Toc72500596</vt:lpwstr>
      </vt:variant>
      <vt:variant>
        <vt:i4>1376315</vt:i4>
      </vt:variant>
      <vt:variant>
        <vt:i4>32</vt:i4>
      </vt:variant>
      <vt:variant>
        <vt:i4>0</vt:i4>
      </vt:variant>
      <vt:variant>
        <vt:i4>5</vt:i4>
      </vt:variant>
      <vt:variant>
        <vt:lpwstr/>
      </vt:variant>
      <vt:variant>
        <vt:lpwstr>_Toc72500595</vt:lpwstr>
      </vt:variant>
      <vt:variant>
        <vt:i4>1310779</vt:i4>
      </vt:variant>
      <vt:variant>
        <vt:i4>26</vt:i4>
      </vt:variant>
      <vt:variant>
        <vt:i4>0</vt:i4>
      </vt:variant>
      <vt:variant>
        <vt:i4>5</vt:i4>
      </vt:variant>
      <vt:variant>
        <vt:lpwstr/>
      </vt:variant>
      <vt:variant>
        <vt:lpwstr>_Toc72500594</vt:lpwstr>
      </vt:variant>
      <vt:variant>
        <vt:i4>1245243</vt:i4>
      </vt:variant>
      <vt:variant>
        <vt:i4>20</vt:i4>
      </vt:variant>
      <vt:variant>
        <vt:i4>0</vt:i4>
      </vt:variant>
      <vt:variant>
        <vt:i4>5</vt:i4>
      </vt:variant>
      <vt:variant>
        <vt:lpwstr/>
      </vt:variant>
      <vt:variant>
        <vt:lpwstr>_Toc72500593</vt:lpwstr>
      </vt:variant>
      <vt:variant>
        <vt:i4>1179707</vt:i4>
      </vt:variant>
      <vt:variant>
        <vt:i4>14</vt:i4>
      </vt:variant>
      <vt:variant>
        <vt:i4>0</vt:i4>
      </vt:variant>
      <vt:variant>
        <vt:i4>5</vt:i4>
      </vt:variant>
      <vt:variant>
        <vt:lpwstr/>
      </vt:variant>
      <vt:variant>
        <vt:lpwstr>_Toc72500592</vt:lpwstr>
      </vt:variant>
      <vt:variant>
        <vt:i4>1114171</vt:i4>
      </vt:variant>
      <vt:variant>
        <vt:i4>8</vt:i4>
      </vt:variant>
      <vt:variant>
        <vt:i4>0</vt:i4>
      </vt:variant>
      <vt:variant>
        <vt:i4>5</vt:i4>
      </vt:variant>
      <vt:variant>
        <vt:lpwstr/>
      </vt:variant>
      <vt:variant>
        <vt:lpwstr>_Toc72500591</vt:lpwstr>
      </vt:variant>
      <vt:variant>
        <vt:i4>1048635</vt:i4>
      </vt:variant>
      <vt:variant>
        <vt:i4>2</vt:i4>
      </vt:variant>
      <vt:variant>
        <vt:i4>0</vt:i4>
      </vt:variant>
      <vt:variant>
        <vt:i4>5</vt:i4>
      </vt:variant>
      <vt:variant>
        <vt:lpwstr/>
      </vt:variant>
      <vt:variant>
        <vt:lpwstr>_Toc72500590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2012版</dc:title>
  <dc:creator>xiaoln</dc:creator>
  <cp:lastModifiedBy>兔兔</cp:lastModifiedBy>
  <cp:revision>3</cp:revision>
  <cp:lastPrinted>2020-06-05T06:22:00Z</cp:lastPrinted>
  <dcterms:created xsi:type="dcterms:W3CDTF">2021-05-28T07:57:00Z</dcterms:created>
  <dcterms:modified xsi:type="dcterms:W3CDTF">2021-05-28T07:59:00Z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4218CEDB001E4FAE846B43727220321D</vt:lpwstr>
  </property>
</Properties>
</file>