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044"/>
        <w:jc w:val="center"/>
        <w:rPr>
          <w:rFonts w:ascii="宋体" w:hAnsi="宋体" w:cs="宋体"/>
          <w:b/>
          <w:bCs/>
          <w:color w:val="000000"/>
          <w:sz w:val="52"/>
          <w:szCs w:val="52"/>
        </w:rPr>
      </w:pPr>
    </w:p>
    <w:p>
      <w:pPr>
        <w:ind w:firstLine="1044"/>
        <w:jc w:val="center"/>
        <w:rPr>
          <w:rFonts w:ascii="宋体" w:hAnsi="宋体" w:cs="宋体"/>
          <w:b/>
          <w:bCs/>
          <w:color w:val="000000"/>
          <w:sz w:val="52"/>
          <w:szCs w:val="52"/>
        </w:rPr>
      </w:pPr>
      <w:r>
        <w:rPr>
          <w:rFonts w:hint="eastAsia" w:ascii="宋体" w:hAnsi="宋体" w:cs="宋体"/>
          <w:b/>
          <w:bCs/>
          <w:color w:val="000000"/>
          <w:sz w:val="52"/>
          <w:szCs w:val="52"/>
        </w:rPr>
        <w:t>北京市市级财政支出项目</w:t>
      </w:r>
    </w:p>
    <w:p>
      <w:pPr>
        <w:ind w:firstLine="1044"/>
        <w:jc w:val="center"/>
        <w:rPr>
          <w:rFonts w:ascii="宋体" w:hAnsi="宋体"/>
          <w:b/>
          <w:bCs/>
          <w:color w:val="000000"/>
          <w:sz w:val="52"/>
          <w:szCs w:val="52"/>
        </w:rPr>
      </w:pPr>
      <w:r>
        <w:rPr>
          <w:rFonts w:hint="eastAsia" w:ascii="宋体" w:hAnsi="宋体" w:cs="宋体"/>
          <w:b/>
          <w:bCs/>
          <w:color w:val="000000"/>
          <w:sz w:val="52"/>
          <w:szCs w:val="52"/>
        </w:rPr>
        <w:t>绩效评价报告</w:t>
      </w:r>
    </w:p>
    <w:p>
      <w:pPr>
        <w:ind w:firstLine="600"/>
        <w:jc w:val="center"/>
        <w:rPr>
          <w:rFonts w:ascii="宋体" w:hAnsi="宋体"/>
          <w:color w:val="000000"/>
          <w:sz w:val="30"/>
        </w:rPr>
      </w:pPr>
    </w:p>
    <w:p>
      <w:pPr>
        <w:ind w:firstLine="600"/>
        <w:jc w:val="center"/>
        <w:rPr>
          <w:rFonts w:ascii="宋体" w:hAnsi="宋体"/>
          <w:color w:val="000000"/>
          <w:sz w:val="30"/>
        </w:rPr>
      </w:pPr>
    </w:p>
    <w:p>
      <w:pPr>
        <w:ind w:firstLine="600"/>
        <w:jc w:val="center"/>
        <w:rPr>
          <w:rFonts w:ascii="宋体" w:hAnsi="宋体"/>
          <w:color w:val="000000"/>
          <w:sz w:val="30"/>
        </w:rPr>
      </w:pPr>
    </w:p>
    <w:p>
      <w:pPr>
        <w:ind w:firstLine="600"/>
        <w:jc w:val="center"/>
        <w:rPr>
          <w:rFonts w:ascii="宋体" w:hAnsi="宋体"/>
          <w:color w:val="000000"/>
          <w:sz w:val="30"/>
        </w:rPr>
      </w:pPr>
    </w:p>
    <w:p>
      <w:pPr>
        <w:ind w:firstLine="600"/>
        <w:jc w:val="center"/>
        <w:rPr>
          <w:rFonts w:ascii="宋体" w:hAnsi="宋体"/>
          <w:color w:val="000000"/>
          <w:sz w:val="30"/>
        </w:rPr>
      </w:pPr>
    </w:p>
    <w:p>
      <w:pPr>
        <w:ind w:firstLine="600"/>
        <w:rPr>
          <w:rFonts w:ascii="宋体" w:hAnsi="宋体"/>
          <w:color w:val="000000"/>
          <w:sz w:val="30"/>
        </w:rPr>
      </w:pPr>
    </w:p>
    <w:p>
      <w:pPr>
        <w:spacing w:line="360" w:lineRule="auto"/>
        <w:ind w:firstLine="960" w:firstLineChars="300"/>
        <w:rPr>
          <w:rFonts w:ascii="宋体" w:hAnsi="宋体"/>
          <w:color w:val="000000"/>
          <w:sz w:val="32"/>
          <w:szCs w:val="32"/>
          <w:u w:val="single"/>
        </w:rPr>
      </w:pPr>
      <w:r>
        <w:rPr>
          <w:rFonts w:hint="eastAsia" w:ascii="宋体" w:hAnsi="宋体"/>
          <w:color w:val="000000"/>
          <w:sz w:val="32"/>
          <w:szCs w:val="32"/>
        </w:rPr>
        <w:t xml:space="preserve"> </w:t>
      </w:r>
      <w:r>
        <w:rPr>
          <w:rFonts w:hint="eastAsia" w:ascii="宋体" w:hAnsi="宋体"/>
          <w:b/>
          <w:color w:val="000000"/>
          <w:sz w:val="32"/>
          <w:szCs w:val="32"/>
        </w:rPr>
        <w:t>主管部门</w:t>
      </w:r>
      <w:r>
        <w:rPr>
          <w:rFonts w:hint="eastAsia" w:ascii="宋体" w:hAnsi="宋体"/>
          <w:color w:val="000000"/>
          <w:sz w:val="32"/>
          <w:szCs w:val="32"/>
          <w:u w:val="single"/>
        </w:rPr>
        <w:t xml:space="preserve">      北京市市场监督管理局         </w:t>
      </w:r>
    </w:p>
    <w:p>
      <w:pPr>
        <w:spacing w:line="360" w:lineRule="auto"/>
        <w:ind w:firstLine="320" w:firstLineChars="100"/>
        <w:rPr>
          <w:rFonts w:ascii="宋体" w:hAnsi="宋体"/>
          <w:color w:val="000000"/>
          <w:sz w:val="32"/>
          <w:szCs w:val="32"/>
          <w:u w:val="single"/>
        </w:rPr>
      </w:pPr>
      <w:r>
        <w:rPr>
          <w:rFonts w:hint="eastAsia" w:ascii="宋体" w:hAnsi="宋体"/>
          <w:color w:val="000000"/>
          <w:sz w:val="32"/>
          <w:szCs w:val="32"/>
        </w:rPr>
        <w:t xml:space="preserve">     </w:t>
      </w:r>
      <w:r>
        <w:rPr>
          <w:rFonts w:hint="eastAsia" w:ascii="宋体" w:hAnsi="宋体"/>
          <w:b/>
          <w:color w:val="000000"/>
          <w:sz w:val="32"/>
          <w:szCs w:val="32"/>
        </w:rPr>
        <w:t>项目单位</w:t>
      </w:r>
      <w:r>
        <w:rPr>
          <w:rFonts w:ascii="宋体" w:hAnsi="宋体"/>
          <w:color w:val="000000"/>
          <w:sz w:val="32"/>
          <w:szCs w:val="32"/>
          <w:u w:val="single"/>
        </w:rPr>
        <w:t xml:space="preserve"> </w:t>
      </w:r>
      <w:r>
        <w:rPr>
          <w:rFonts w:hint="eastAsia" w:ascii="宋体" w:hAnsi="宋体"/>
          <w:bCs/>
          <w:color w:val="000000"/>
          <w:sz w:val="32"/>
          <w:szCs w:val="32"/>
          <w:u w:val="single"/>
        </w:rPr>
        <w:t xml:space="preserve">     </w:t>
      </w:r>
      <w:r>
        <w:rPr>
          <w:rFonts w:hint="eastAsia" w:ascii="宋体" w:hAnsi="宋体"/>
          <w:color w:val="000000"/>
          <w:sz w:val="32"/>
          <w:szCs w:val="32"/>
          <w:u w:val="single"/>
        </w:rPr>
        <w:t xml:space="preserve">北京市市场监督管理局          </w:t>
      </w:r>
    </w:p>
    <w:p>
      <w:pPr>
        <w:spacing w:line="360" w:lineRule="auto"/>
        <w:ind w:left="2418" w:leftChars="547" w:hanging="1269" w:hangingChars="395"/>
        <w:rPr>
          <w:rFonts w:ascii="宋体" w:hAnsi="宋体"/>
          <w:bCs/>
          <w:color w:val="000000"/>
          <w:sz w:val="32"/>
          <w:szCs w:val="32"/>
          <w:u w:val="single"/>
        </w:rPr>
      </w:pPr>
      <w:r>
        <w:rPr>
          <w:rFonts w:hint="eastAsia" w:ascii="宋体" w:hAnsi="宋体"/>
          <w:b/>
          <w:color w:val="000000"/>
          <w:sz w:val="32"/>
          <w:szCs w:val="32"/>
        </w:rPr>
        <w:t>项目名称</w:t>
      </w:r>
      <w:r>
        <w:rPr>
          <w:rFonts w:hint="eastAsia" w:ascii="宋体" w:hAnsi="宋体"/>
          <w:color w:val="000000"/>
          <w:sz w:val="32"/>
          <w:szCs w:val="32"/>
          <w:u w:val="single"/>
        </w:rPr>
        <w:t xml:space="preserve"> </w:t>
      </w:r>
      <w:r>
        <w:rPr>
          <w:rFonts w:hint="eastAsia" w:ascii="宋体" w:hAnsi="宋体"/>
          <w:bCs/>
          <w:color w:val="000000"/>
          <w:sz w:val="32"/>
          <w:szCs w:val="32"/>
          <w:u w:val="single"/>
        </w:rPr>
        <w:t xml:space="preserve">追加2020年北京市商务楼宇信息监测系统升级改造验收项目                  </w:t>
      </w:r>
    </w:p>
    <w:p>
      <w:pPr>
        <w:spacing w:line="360" w:lineRule="auto"/>
        <w:ind w:firstLine="800" w:firstLineChars="250"/>
        <w:rPr>
          <w:rFonts w:ascii="宋体" w:hAnsi="宋体"/>
          <w:color w:val="000000"/>
          <w:sz w:val="32"/>
          <w:szCs w:val="32"/>
          <w:u w:val="single"/>
        </w:rPr>
      </w:pPr>
      <w:r>
        <w:rPr>
          <w:rFonts w:hint="eastAsia" w:ascii="宋体" w:hAnsi="宋体"/>
          <w:color w:val="000000"/>
          <w:sz w:val="32"/>
          <w:szCs w:val="32"/>
        </w:rPr>
        <w:t xml:space="preserve">  </w:t>
      </w:r>
      <w:r>
        <w:rPr>
          <w:rFonts w:hint="eastAsia" w:ascii="宋体" w:hAnsi="宋体"/>
          <w:b/>
          <w:color w:val="000000"/>
          <w:sz w:val="32"/>
          <w:szCs w:val="32"/>
        </w:rPr>
        <w:t>评价机构</w:t>
      </w:r>
      <w:r>
        <w:rPr>
          <w:rFonts w:ascii="宋体" w:hAnsi="宋体"/>
          <w:color w:val="000000"/>
          <w:sz w:val="32"/>
          <w:szCs w:val="32"/>
          <w:u w:val="single"/>
        </w:rPr>
        <w:t xml:space="preserve">  </w:t>
      </w:r>
      <w:r>
        <w:rPr>
          <w:rFonts w:hint="eastAsia" w:ascii="宋体" w:hAnsi="宋体"/>
          <w:color w:val="000000"/>
          <w:sz w:val="32"/>
          <w:szCs w:val="32"/>
          <w:u w:val="single"/>
        </w:rPr>
        <w:t xml:space="preserve">    北京市市场监督管理局</w:t>
      </w:r>
      <w:r>
        <w:rPr>
          <w:rFonts w:hint="eastAsia" w:ascii="宋体" w:hAnsi="宋体"/>
          <w:bCs/>
          <w:color w:val="000000"/>
          <w:sz w:val="32"/>
          <w:szCs w:val="32"/>
          <w:u w:val="single"/>
        </w:rPr>
        <w:t xml:space="preserve">          </w:t>
      </w:r>
    </w:p>
    <w:p>
      <w:pPr>
        <w:spacing w:line="360" w:lineRule="auto"/>
        <w:ind w:firstLine="1124" w:firstLineChars="350"/>
        <w:jc w:val="left"/>
        <w:rPr>
          <w:rFonts w:ascii="宋体" w:hAnsi="宋体"/>
          <w:b/>
          <w:color w:val="000000"/>
          <w:sz w:val="32"/>
          <w:szCs w:val="32"/>
        </w:rPr>
      </w:pPr>
      <w:r>
        <w:rPr>
          <w:rFonts w:ascii="宋体" w:hAnsi="宋体"/>
          <w:b/>
          <w:color w:val="000000"/>
          <w:sz w:val="32"/>
          <w:szCs w:val="32"/>
        </w:rPr>
        <w:pict>
          <v:shape id="Text Box 30" o:spid="_x0000_s2050" o:spt="202" type="#_x0000_t202" style="position:absolute;left:0pt;margin-left:119.6pt;margin-top:4.65pt;height:63pt;width:300.4pt;z-index:251659264;mso-width-relative:page;mso-height-relative:page;" filled="f" stroked="t" coordsize="21600,21600">
            <v:path/>
            <v:fill on="f" focussize="0,0"/>
            <v:stroke color="#FFFFFF" joinstyle="miter"/>
            <v:imagedata o:title=""/>
            <o:lock v:ext="edit"/>
            <v:textbox>
              <w:txbxContent>
                <w:p>
                  <w:pPr>
                    <w:tabs>
                      <w:tab w:val="left" w:pos="4962"/>
                    </w:tabs>
                    <w:ind w:left="160" w:hanging="160" w:hangingChars="50"/>
                    <w:rPr>
                      <w:rFonts w:ascii="宋体" w:hAnsi="宋体"/>
                      <w:sz w:val="32"/>
                      <w:szCs w:val="32"/>
                      <w:u w:val="single"/>
                    </w:rPr>
                  </w:pPr>
                  <w:r>
                    <w:rPr>
                      <w:rFonts w:hint="eastAsia" w:ascii="宋体" w:hAnsi="宋体"/>
                      <w:sz w:val="32"/>
                      <w:szCs w:val="32"/>
                      <w:u w:val="single"/>
                    </w:rPr>
                    <w:t xml:space="preserve">   </w:t>
                  </w:r>
                  <w:r>
                    <w:rPr>
                      <w:rFonts w:hint="eastAsia" w:ascii="宋体" w:hAnsi="宋体"/>
                      <w:bCs/>
                      <w:sz w:val="32"/>
                      <w:szCs w:val="32"/>
                      <w:u w:val="single"/>
                    </w:rPr>
                    <w:t xml:space="preserve">北京中润达会计师事务所有限公司  </w:t>
                  </w:r>
                </w:p>
                <w:p>
                  <w:pPr>
                    <w:ind w:firstLine="640"/>
                    <w:rPr>
                      <w:sz w:val="32"/>
                      <w:szCs w:val="32"/>
                    </w:rPr>
                  </w:pPr>
                  <w:r>
                    <w:rPr>
                      <w:rFonts w:hint="eastAsia"/>
                      <w:sz w:val="32"/>
                      <w:szCs w:val="32"/>
                    </w:rPr>
                    <w:t xml:space="preserve">                </w:t>
                  </w:r>
                </w:p>
                <w:p>
                  <w:pPr>
                    <w:ind w:firstLine="640"/>
                    <w:rPr>
                      <w:sz w:val="32"/>
                      <w:szCs w:val="32"/>
                    </w:rPr>
                  </w:pPr>
                  <w:r>
                    <w:rPr>
                      <w:rFonts w:hint="eastAsia"/>
                      <w:sz w:val="32"/>
                      <w:szCs w:val="32"/>
                    </w:rPr>
                    <w:t xml:space="preserve">                                                                                                                                                                                                               </w:t>
                  </w:r>
                </w:p>
              </w:txbxContent>
            </v:textbox>
          </v:shape>
        </w:pict>
      </w:r>
      <w:r>
        <w:rPr>
          <w:rFonts w:hint="eastAsia" w:ascii="宋体" w:hAnsi="宋体"/>
          <w:b/>
          <w:color w:val="000000"/>
          <w:sz w:val="32"/>
          <w:szCs w:val="32"/>
        </w:rPr>
        <w:t>参与评价</w:t>
      </w:r>
    </w:p>
    <w:p>
      <w:pPr>
        <w:spacing w:line="360" w:lineRule="auto"/>
        <w:jc w:val="left"/>
        <w:rPr>
          <w:rFonts w:ascii="宋体" w:hAnsi="宋体"/>
          <w:b/>
          <w:color w:val="000000"/>
          <w:sz w:val="32"/>
          <w:szCs w:val="32"/>
        </w:rPr>
      </w:pPr>
      <w:r>
        <w:rPr>
          <w:rFonts w:hint="eastAsia" w:ascii="宋体" w:hAnsi="宋体"/>
          <w:color w:val="000000"/>
          <w:sz w:val="32"/>
          <w:szCs w:val="32"/>
        </w:rPr>
        <w:t xml:space="preserve">       </w:t>
      </w:r>
      <w:r>
        <w:rPr>
          <w:rFonts w:hint="eastAsia" w:ascii="宋体" w:hAnsi="宋体"/>
          <w:b/>
          <w:color w:val="000000"/>
          <w:sz w:val="32"/>
          <w:szCs w:val="32"/>
        </w:rPr>
        <w:t>中介机构</w:t>
      </w:r>
    </w:p>
    <w:p>
      <w:pPr>
        <w:ind w:firstLine="1600" w:firstLineChars="500"/>
        <w:rPr>
          <w:rFonts w:ascii="宋体" w:hAnsi="宋体"/>
          <w:color w:val="000000"/>
          <w:sz w:val="32"/>
          <w:szCs w:val="32"/>
          <w:u w:val="single"/>
        </w:rPr>
      </w:pPr>
    </w:p>
    <w:p>
      <w:pPr>
        <w:ind w:firstLine="1500" w:firstLineChars="500"/>
        <w:rPr>
          <w:rFonts w:ascii="宋体" w:hAnsi="宋体"/>
          <w:color w:val="000000"/>
          <w:sz w:val="30"/>
          <w:u w:val="single"/>
        </w:rPr>
      </w:pPr>
    </w:p>
    <w:p>
      <w:pPr>
        <w:ind w:firstLine="723"/>
        <w:jc w:val="center"/>
        <w:rPr>
          <w:rFonts w:ascii="宋体" w:hAnsi="宋体"/>
          <w:b/>
          <w:color w:val="000000"/>
          <w:sz w:val="36"/>
          <w:szCs w:val="36"/>
        </w:rPr>
      </w:pPr>
      <w:r>
        <w:rPr>
          <w:rFonts w:hint="eastAsia" w:ascii="宋体" w:hAnsi="宋体"/>
          <w:b/>
          <w:color w:val="000000"/>
          <w:sz w:val="36"/>
          <w:szCs w:val="36"/>
        </w:rPr>
        <w:t>北京市财政局</w:t>
      </w:r>
    </w:p>
    <w:p>
      <w:pPr>
        <w:ind w:firstLine="643"/>
        <w:jc w:val="center"/>
        <w:rPr>
          <w:rFonts w:ascii="宋体" w:hAnsi="宋体"/>
          <w:b/>
          <w:color w:val="000000"/>
          <w:sz w:val="32"/>
          <w:szCs w:val="32"/>
        </w:rPr>
        <w:sectPr>
          <w:footerReference r:id="rId3" w:type="default"/>
          <w:pgSz w:w="11906" w:h="16838"/>
          <w:pgMar w:top="1440" w:right="1800" w:bottom="1440" w:left="1800" w:header="851" w:footer="992" w:gutter="0"/>
          <w:cols w:space="425" w:num="1"/>
          <w:docGrid w:type="lines" w:linePitch="312" w:charSpace="0"/>
        </w:sectPr>
      </w:pPr>
      <w:r>
        <w:rPr>
          <w:rFonts w:hint="eastAsia" w:ascii="宋体" w:hAnsi="宋体"/>
          <w:b/>
          <w:color w:val="000000"/>
          <w:sz w:val="32"/>
          <w:szCs w:val="32"/>
        </w:rPr>
        <w:t>二</w:t>
      </w:r>
      <w:r>
        <w:rPr>
          <w:rFonts w:hint="eastAsia" w:ascii="宋体" w:hAnsi="宋体" w:cs="微软雅黑"/>
          <w:color w:val="000000"/>
          <w:sz w:val="32"/>
          <w:szCs w:val="32"/>
        </w:rPr>
        <w:t>〇</w:t>
      </w:r>
      <w:r>
        <w:rPr>
          <w:rFonts w:hint="eastAsia" w:ascii="宋体" w:hAnsi="宋体"/>
          <w:b/>
          <w:color w:val="000000"/>
          <w:sz w:val="32"/>
          <w:szCs w:val="32"/>
        </w:rPr>
        <w:t>二</w:t>
      </w:r>
      <w:r>
        <w:rPr>
          <w:rFonts w:hint="eastAsia" w:ascii="宋体" w:hAnsi="宋体" w:cs="微软雅黑"/>
          <w:color w:val="000000"/>
          <w:sz w:val="32"/>
          <w:szCs w:val="32"/>
        </w:rPr>
        <w:t>一</w:t>
      </w:r>
      <w:r>
        <w:rPr>
          <w:rFonts w:hint="eastAsia" w:ascii="宋体" w:hAnsi="宋体"/>
          <w:b/>
          <w:color w:val="000000"/>
          <w:sz w:val="32"/>
          <w:szCs w:val="32"/>
        </w:rPr>
        <w:t>年五月</w:t>
      </w:r>
    </w:p>
    <w:p>
      <w:pPr>
        <w:rPr>
          <w:color w:val="000000"/>
        </w:rPr>
      </w:pPr>
      <w:r>
        <w:rPr>
          <w:rFonts w:ascii="宋体" w:hAnsi="宋体"/>
          <w:b/>
          <w:bCs/>
          <w:color w:val="000000"/>
          <w:sz w:val="44"/>
          <w:szCs w:val="44"/>
        </w:rPr>
        <w:pict>
          <v:rect id="矩形 10" o:spid="_x0000_s2051" o:spt="1" style="position:absolute;left:0pt;margin-left:-14.85pt;margin-top:-9pt;height:74.25pt;width:454.35pt;mso-wrap-distance-left:9pt;mso-wrap-distance-right:9pt;z-index:251660288;mso-width-relative:page;mso-height-relative:page;" fillcolor="#993366" filled="t" coordsize="21600,21600" wrapcoords="21592 -2 0 0 0 21599 21592 21601 8 21601 21600 21599 21600 0 8 -2 21592 -2" o:gfxdata="UEsDBAoAAAAAAIdO4kAAAAAAAAAAAAAAAAAEAAAAZHJzL1BLAwQUAAAACACHTuJAx9TT9dgAAAAI&#10;AQAADwAAAGRycy9kb3ducmV2LnhtbE2PzU7DMBCE70i8g7VIXFBrp/zkp3EqhIQ4UkIfwI03cURs&#10;R7HTFJ6e5URvO5rR7Dfl7mwHdsIp9N5JSNYCGLrG6951Eg6fr6sMWIjKaTV4hxK+McCuur4qVaH9&#10;4j7wVMeOUYkLhZJgYhwLzkNj0Kqw9iM68lo/WRVJTh3Xk1qo3A58I8QTt6p39MGoEV8MNl/1bCU8&#10;t1lez/vUJ93+Dn8eltaIt3cpb28SsQUW8Rz/w/CHT+hQEdPRz04HNkhYbfKUohLuaRL5WZrTcZSQ&#10;p4/Aq5JfDqh+AVBLAwQUAAAACACHTuJA6KyPvCcCAABjBAAADgAAAGRycy9lMm9Eb2MueG1srVTN&#10;jtMwEL4j8Q6W7zRpSttt1HQPlOWCYKWCOLu2k1jyn2y3aZ8GiRsPweMgXmNn3FK6LAeEcCRnxjP5&#10;ZuabcZa3B6PJXoaonG3oeFRSIi13QtmuoR8/3L24oSQmZgXTzsqGHmWkt6vnz5aDr2XleqeFDARA&#10;bKwH39A+JV8XReS9NCyOnJcWjK0LhiVQQ1eIwAZAN7qoynJWDC4IHxyXMcLp+mSkq4zftpKn920b&#10;ZSK6oZBbynvI+xb3YrVkdReY7xU/p8H+IQvDlIWgF6g1S4zsgnoCZRQPLro2jbgzhWtbxWWuAaoZ&#10;l79Vs+mZl7kWICf6C03x/8Hyd/v7QJSA3gE9lhno0Y/PX79/+0LgANgZfKzBaePvw1mLIGKphzYY&#10;fEMR5JAZPV4YlYdEOBxO5/OyejmlhINtVpblfIqgxa+vfYjpjXSGoNDQAB3LRLL925hOrj9dMFh0&#10;Wok7pXVWQrd9pQPZM+juYjGZzGZn9Edu2pIB7NMK82AwZK1mCUTjoexouxzv0RfxGhiyhvUnYExs&#10;zWJ/SiAjoBurjUoyZKmXTLy2gqSjB2Yt3AGKyRgpKNESrgxK2TMxpf/GE7jTFoPIPN7AEipuBxE3&#10;vRiIUMjjZLqoxhQUmPVqtsBFCdMdROQpUBJc+qRSnycMu/aEzpsSn3PVF/TcuqvABY7HaSBQSoft&#10;AYpBcevEESZr54PqekhonKHQApOcYc63Dq/KtQ7y9b9h9Q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H1NP12AAAAAgBAAAPAAAAAAAAAAEAIAAAACIAAABkcnMvZG93bnJldi54bWxQSwECFAAUAAAA&#10;CACHTuJA6KyPvCcCAABjBAAADgAAAAAAAAABACAAAAAnAQAAZHJzL2Uyb0RvYy54bWxQSwUGAAAA&#10;AAYABgBZAQAAwAUAAAAA&#10;">
            <v:path/>
            <v:fill on="t" focussize="0,0"/>
            <v:stroke/>
            <v:imagedata o:title=""/>
            <o:lock v:ext="edit"/>
            <v:shadow on="t"/>
            <v:textbox>
              <w:txbxContent>
                <w:p>
                  <w:pPr>
                    <w:tabs>
                      <w:tab w:val="left" w:pos="5760"/>
                    </w:tabs>
                    <w:jc w:val="center"/>
                    <w:rPr>
                      <w:rFonts w:ascii="楷体_GB2312" w:hAnsi="宋体" w:eastAsia="楷体_GB2312"/>
                      <w:b/>
                      <w:color w:val="FFFFFF"/>
                      <w:sz w:val="36"/>
                      <w:szCs w:val="36"/>
                    </w:rPr>
                  </w:pPr>
                  <w:r>
                    <w:rPr>
                      <w:rFonts w:hint="eastAsia" w:ascii="楷体_GB2312" w:hAnsi="宋体" w:eastAsia="楷体_GB2312"/>
                      <w:b/>
                      <w:color w:val="FFFFFF"/>
                      <w:sz w:val="36"/>
                      <w:szCs w:val="36"/>
                    </w:rPr>
                    <w:t>北京市市场监督管理局“追加2020年北京市商务楼宇信息监测系统升级改造验收项目”绩效图片</w:t>
                  </w:r>
                </w:p>
              </w:txbxContent>
            </v:textbox>
            <w10:wrap type="tight"/>
          </v:rect>
        </w:pict>
      </w:r>
    </w:p>
    <w:p>
      <w:pPr>
        <w:rPr>
          <w:color w:val="000000"/>
        </w:rPr>
      </w:pPr>
      <w:r>
        <w:drawing>
          <wp:anchor distT="0" distB="0" distL="114300" distR="114300" simplePos="0" relativeHeight="251661312" behindDoc="0" locked="0" layoutInCell="1" allowOverlap="1">
            <wp:simplePos x="0" y="0"/>
            <wp:positionH relativeFrom="column">
              <wp:posOffset>2638425</wp:posOffset>
            </wp:positionH>
            <wp:positionV relativeFrom="paragraph">
              <wp:posOffset>48260</wp:posOffset>
            </wp:positionV>
            <wp:extent cx="2304415" cy="2085975"/>
            <wp:effectExtent l="19050" t="0" r="635" b="0"/>
            <wp:wrapNone/>
            <wp:docPr id="32" name="图片 32" descr="F:\2021年\6、市场监督管理局2020年度自评\2-部门评价\追加2020年北京市商务楼宇信息监测系统升级改造验收项目--部门评价资料\追加2020年北京市商务楼宇信息监测系统升级改造验收项目报告及资料\3、项目绩效资料\18-反映项目实施效果的证据资料\（2）绩效图片\项目过程照片\竣工验收会照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F:\2021年\6、市场监督管理局2020年度自评\2-部门评价\追加2020年北京市商务楼宇信息监测系统升级改造验收项目--部门评价资料\追加2020年北京市商务楼宇信息监测系统升级改造验收项目报告及资料\3、项目绩效资料\18-反映项目实施效果的证据资料\（2）绩效图片\项目过程照片\竣工验收会照片.jpg"/>
                    <pic:cNvPicPr preferRelativeResize="0">
                      <a:picLocks noChangeAspect="1" noChangeArrowheads="1"/>
                    </pic:cNvPicPr>
                  </pic:nvPicPr>
                  <pic:blipFill>
                    <a:blip r:embed="rId8" cstate="print"/>
                    <a:srcRect/>
                    <a:stretch>
                      <a:fillRect/>
                    </a:stretch>
                  </pic:blipFill>
                  <pic:spPr>
                    <a:xfrm>
                      <a:off x="0" y="0"/>
                      <a:ext cx="2304415" cy="2085975"/>
                    </a:xfrm>
                    <a:prstGeom prst="rect">
                      <a:avLst/>
                    </a:prstGeom>
                    <a:noFill/>
                    <a:ln w="9525">
                      <a:noFill/>
                      <a:miter lim="800000"/>
                      <a:headEnd/>
                      <a:tailEnd/>
                    </a:ln>
                  </pic:spPr>
                </pic:pic>
              </a:graphicData>
            </a:graphic>
          </wp:anchor>
        </w:drawing>
      </w:r>
      <w:r>
        <w:drawing>
          <wp:inline distT="0" distB="0" distL="0" distR="0">
            <wp:extent cx="2303780" cy="2087880"/>
            <wp:effectExtent l="19050" t="0" r="1050" b="0"/>
            <wp:docPr id="31" name="图片 31" descr="F:\2021年\6、市场监督管理局2020年度自评\2-部门评价\追加2020年北京市商务楼宇信息监测系统升级改造验收项目--部门评价资料\追加2020年北京市商务楼宇信息监测系统升级改造验收项目报告及资料\3、项目绩效资料\18-反映项目实施效果的证据资料\（2）绩效图片\项目过程照片\领导赴CBD调研材料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2021年\6、市场监督管理局2020年度自评\2-部门评价\追加2020年北京市商务楼宇信息监测系统升级改造验收项目--部门评价资料\追加2020年北京市商务楼宇信息监测系统升级改造验收项目报告及资料\3、项目绩效资料\18-反映项目实施效果的证据资料\（2）绩效图片\项目过程照片\领导赴CBD调研材料 (1).jpg"/>
                    <pic:cNvPicPr preferRelativeResize="0">
                      <a:picLocks noChangeAspect="1" noChangeArrowheads="1"/>
                    </pic:cNvPicPr>
                  </pic:nvPicPr>
                  <pic:blipFill>
                    <a:blip r:embed="rId9" cstate="print"/>
                    <a:srcRect/>
                    <a:stretch>
                      <a:fillRect/>
                    </a:stretch>
                  </pic:blipFill>
                  <pic:spPr>
                    <a:xfrm>
                      <a:off x="0" y="0"/>
                      <a:ext cx="2304000" cy="2088000"/>
                    </a:xfrm>
                    <a:prstGeom prst="rect">
                      <a:avLst/>
                    </a:prstGeom>
                    <a:noFill/>
                    <a:ln w="9525">
                      <a:noFill/>
                      <a:miter lim="800000"/>
                      <a:headEnd/>
                      <a:tailEnd/>
                    </a:ln>
                  </pic:spPr>
                </pic:pic>
              </a:graphicData>
            </a:graphic>
          </wp:inline>
        </w:drawing>
      </w:r>
      <w:r>
        <w:t xml:space="preserve">  </w:t>
      </w:r>
      <w:r>
        <w:rPr>
          <w:rFonts w:hint="eastAsia"/>
          <w:color w:val="000000"/>
        </w:rPr>
        <w:t xml:space="preserve">         </w:t>
      </w:r>
    </w:p>
    <w:p>
      <w:pPr>
        <w:ind w:firstLine="840" w:firstLineChars="400"/>
        <w:rPr>
          <w:color w:val="000000"/>
        </w:rPr>
      </w:pPr>
      <w:r>
        <w:rPr>
          <w:rFonts w:hint="eastAsia"/>
          <w:color w:val="000000"/>
        </w:rPr>
        <w:t>赴CBD调研                             竣工验收会</w:t>
      </w:r>
    </w:p>
    <w:p>
      <w:pPr>
        <w:rPr>
          <w:color w:val="000000"/>
        </w:rPr>
      </w:pPr>
      <w:r>
        <w:rPr>
          <w:color w:val="000000"/>
        </w:rPr>
        <w:drawing>
          <wp:anchor distT="0" distB="0" distL="114300" distR="114300" simplePos="0" relativeHeight="251662336" behindDoc="0" locked="0" layoutInCell="1" allowOverlap="1">
            <wp:simplePos x="0" y="0"/>
            <wp:positionH relativeFrom="column">
              <wp:posOffset>2638425</wp:posOffset>
            </wp:positionH>
            <wp:positionV relativeFrom="paragraph">
              <wp:posOffset>42545</wp:posOffset>
            </wp:positionV>
            <wp:extent cx="2304415" cy="2085975"/>
            <wp:effectExtent l="19050" t="0" r="635" b="0"/>
            <wp:wrapNone/>
            <wp:docPr id="35" name="图片 35"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3-业务支撑子系统-全局模式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3-业务支撑子系统-全局模式1.png"/>
                    <pic:cNvPicPr preferRelativeResize="0">
                      <a:picLocks noChangeAspect="1" noChangeArrowheads="1"/>
                    </pic:cNvPicPr>
                  </pic:nvPicPr>
                  <pic:blipFill>
                    <a:blip r:embed="rId10" cstate="print"/>
                    <a:srcRect/>
                    <a:stretch>
                      <a:fillRect/>
                    </a:stretch>
                  </pic:blipFill>
                  <pic:spPr>
                    <a:xfrm>
                      <a:off x="0" y="0"/>
                      <a:ext cx="2304415" cy="2085975"/>
                    </a:xfrm>
                    <a:prstGeom prst="rect">
                      <a:avLst/>
                    </a:prstGeom>
                    <a:noFill/>
                    <a:ln w="9525">
                      <a:noFill/>
                      <a:miter lim="800000"/>
                      <a:headEnd/>
                      <a:tailEnd/>
                    </a:ln>
                  </pic:spPr>
                </pic:pic>
              </a:graphicData>
            </a:graphic>
          </wp:anchor>
        </w:drawing>
      </w:r>
      <w:r>
        <w:rPr>
          <w:color w:val="000000"/>
        </w:rPr>
        <w:t xml:space="preserve"> </w:t>
      </w:r>
      <w:r>
        <w:rPr>
          <w:color w:val="000000"/>
        </w:rPr>
        <w:drawing>
          <wp:inline distT="0" distB="0" distL="0" distR="0">
            <wp:extent cx="2303780" cy="2085975"/>
            <wp:effectExtent l="19050" t="0" r="1050" b="0"/>
            <wp:docPr id="33" name="图片 33"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1-社会共治子系统-信息采集PC端.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1-社会共治子系统-信息采集PC端.png"/>
                    <pic:cNvPicPr preferRelativeResize="0">
                      <a:picLocks noChangeAspect="1" noChangeArrowheads="1"/>
                    </pic:cNvPicPr>
                  </pic:nvPicPr>
                  <pic:blipFill>
                    <a:blip r:embed="rId11" cstate="print"/>
                    <a:srcRect/>
                    <a:stretch>
                      <a:fillRect/>
                    </a:stretch>
                  </pic:blipFill>
                  <pic:spPr>
                    <a:xfrm>
                      <a:off x="0" y="0"/>
                      <a:ext cx="2304000" cy="2085975"/>
                    </a:xfrm>
                    <a:prstGeom prst="rect">
                      <a:avLst/>
                    </a:prstGeom>
                    <a:noFill/>
                    <a:ln w="9525">
                      <a:noFill/>
                      <a:miter lim="800000"/>
                      <a:headEnd/>
                      <a:tailEnd/>
                    </a:ln>
                  </pic:spPr>
                </pic:pic>
              </a:graphicData>
            </a:graphic>
          </wp:inline>
        </w:drawing>
      </w:r>
      <w:r>
        <w:rPr>
          <w:rFonts w:eastAsia="Times New Roman"/>
          <w:snapToGrid w:val="0"/>
          <w:color w:val="000000"/>
          <w:w w:val="0"/>
          <w:kern w:val="0"/>
          <w:sz w:val="0"/>
          <w:szCs w:val="0"/>
          <w:u w:color="000000"/>
          <w:shd w:val="clear" w:color="000000" w:fill="000000"/>
        </w:rPr>
        <w:t xml:space="preserve"> </w:t>
      </w:r>
    </w:p>
    <w:p>
      <w:pPr>
        <w:ind w:firstLine="210" w:firstLineChars="100"/>
        <w:rPr>
          <w:color w:val="000000"/>
        </w:rPr>
      </w:pPr>
      <w:r>
        <w:rPr>
          <w:rFonts w:hint="eastAsia"/>
          <w:color w:val="000000"/>
        </w:rPr>
        <w:t>社会共治子系统-信息采集PC端            业务支撑子系统-全局模式</w:t>
      </w:r>
    </w:p>
    <w:p>
      <w:pPr>
        <w:rPr>
          <w:color w:val="000000"/>
        </w:rPr>
      </w:pPr>
      <w:r>
        <w:rPr>
          <w:color w:val="000000"/>
        </w:rPr>
        <w:drawing>
          <wp:anchor distT="0" distB="0" distL="114300" distR="114300" simplePos="0" relativeHeight="251663360" behindDoc="0" locked="0" layoutInCell="1" allowOverlap="1">
            <wp:simplePos x="0" y="0"/>
            <wp:positionH relativeFrom="column">
              <wp:posOffset>2638425</wp:posOffset>
            </wp:positionH>
            <wp:positionV relativeFrom="paragraph">
              <wp:posOffset>93980</wp:posOffset>
            </wp:positionV>
            <wp:extent cx="2304415" cy="2085975"/>
            <wp:effectExtent l="19050" t="0" r="635" b="0"/>
            <wp:wrapNone/>
            <wp:docPr id="37" name="图片 37"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经济决策辅助子系统-地区经济贡献.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经济决策辅助子系统-地区经济贡献.PNG"/>
                    <pic:cNvPicPr preferRelativeResize="0">
                      <a:picLocks noChangeAspect="1" noChangeArrowheads="1"/>
                    </pic:cNvPicPr>
                  </pic:nvPicPr>
                  <pic:blipFill>
                    <a:blip r:embed="rId12" cstate="print"/>
                    <a:srcRect/>
                    <a:stretch>
                      <a:fillRect/>
                    </a:stretch>
                  </pic:blipFill>
                  <pic:spPr>
                    <a:xfrm>
                      <a:off x="0" y="0"/>
                      <a:ext cx="2304415" cy="2085975"/>
                    </a:xfrm>
                    <a:prstGeom prst="rect">
                      <a:avLst/>
                    </a:prstGeom>
                    <a:noFill/>
                    <a:ln w="9525">
                      <a:noFill/>
                      <a:miter lim="800000"/>
                      <a:headEnd/>
                      <a:tailEnd/>
                    </a:ln>
                  </pic:spPr>
                </pic:pic>
              </a:graphicData>
            </a:graphic>
          </wp:anchor>
        </w:drawing>
      </w:r>
      <w:r>
        <w:rPr>
          <w:color w:val="000000"/>
        </w:rPr>
        <w:drawing>
          <wp:inline distT="0" distB="0" distL="0" distR="0">
            <wp:extent cx="2303780" cy="2085975"/>
            <wp:effectExtent l="19050" t="0" r="1050" b="0"/>
            <wp:docPr id="36" name="图片 36"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综合分析服务子系统-楼宇全景-楼宇概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F:\2021年\6、市场监督管理局2020年度自评\2-部门评价\追加2020年北京市商务楼宇信息监测系统升级改造验收项目--部门评价资料\追加2020年北京市商务楼宇信息监测系统升级改造验收项目报告及资料\3、项目绩效资料\17-反映项目完成情况的证据资料\（3）项目完工实景图片\综合分析服务子系统-楼宇全景-楼宇概况.PNG"/>
                    <pic:cNvPicPr preferRelativeResize="0">
                      <a:picLocks noChangeAspect="1" noChangeArrowheads="1"/>
                    </pic:cNvPicPr>
                  </pic:nvPicPr>
                  <pic:blipFill>
                    <a:blip r:embed="rId13" cstate="print"/>
                    <a:srcRect/>
                    <a:stretch>
                      <a:fillRect/>
                    </a:stretch>
                  </pic:blipFill>
                  <pic:spPr>
                    <a:xfrm>
                      <a:off x="0" y="0"/>
                      <a:ext cx="2304000" cy="2085975"/>
                    </a:xfrm>
                    <a:prstGeom prst="rect">
                      <a:avLst/>
                    </a:prstGeom>
                    <a:noFill/>
                    <a:ln w="9525">
                      <a:noFill/>
                      <a:miter lim="800000"/>
                      <a:headEnd/>
                      <a:tailEnd/>
                    </a:ln>
                  </pic:spPr>
                </pic:pic>
              </a:graphicData>
            </a:graphic>
          </wp:inline>
        </w:drawing>
      </w:r>
      <w:r>
        <w:rPr>
          <w:rFonts w:hint="eastAsia"/>
          <w:color w:val="000000"/>
        </w:rPr>
        <w:t xml:space="preserve"> </w:t>
      </w:r>
    </w:p>
    <w:p>
      <w:pPr>
        <w:rPr>
          <w:color w:val="000000"/>
        </w:rPr>
        <w:sectPr>
          <w:footerReference r:id="rId4" w:type="default"/>
          <w:pgSz w:w="11906" w:h="16838"/>
          <w:pgMar w:top="1440" w:right="1800" w:bottom="1440" w:left="1800" w:header="851" w:footer="992" w:gutter="0"/>
          <w:cols w:space="425" w:num="1"/>
          <w:docGrid w:type="lines" w:linePitch="312" w:charSpace="0"/>
        </w:sectPr>
      </w:pPr>
      <w:r>
        <w:rPr>
          <w:rFonts w:hint="eastAsia"/>
          <w:color w:val="000000"/>
        </w:rPr>
        <w:t>综合分析服务子系统-楼宇全景-楼宇概况      经济决策辅助子系统-地区经济贡献</w:t>
      </w:r>
    </w:p>
    <w:p>
      <w:pPr>
        <w:rPr>
          <w:color w:val="000000"/>
        </w:rPr>
      </w:pPr>
    </w:p>
    <w:p>
      <w:pPr>
        <w:spacing w:line="360" w:lineRule="auto"/>
        <w:jc w:val="center"/>
        <w:rPr>
          <w:rFonts w:ascii="仿宋" w:hAnsi="仿宋" w:eastAsia="仿宋"/>
          <w:sz w:val="28"/>
          <w:szCs w:val="28"/>
        </w:rPr>
      </w:pPr>
      <w:r>
        <w:rPr>
          <w:rFonts w:hint="eastAsia" w:ascii="仿宋" w:hAnsi="仿宋" w:eastAsia="仿宋"/>
          <w:b/>
          <w:sz w:val="44"/>
          <w:szCs w:val="24"/>
        </w:rPr>
        <w:t>目  录</w:t>
      </w:r>
      <w:r>
        <w:rPr>
          <w:rFonts w:ascii="仿宋" w:hAnsi="仿宋" w:eastAsia="仿宋"/>
          <w:b/>
          <w:sz w:val="28"/>
          <w:szCs w:val="28"/>
        </w:rPr>
        <w:fldChar w:fldCharType="begin"/>
      </w:r>
      <w:r>
        <w:rPr>
          <w:rFonts w:ascii="仿宋" w:hAnsi="仿宋" w:eastAsia="仿宋"/>
          <w:b/>
          <w:sz w:val="28"/>
          <w:szCs w:val="28"/>
        </w:rPr>
        <w:instrText xml:space="preserve"> </w:instrText>
      </w:r>
      <w:r>
        <w:rPr>
          <w:rFonts w:hint="eastAsia" w:ascii="仿宋" w:hAnsi="仿宋" w:eastAsia="仿宋"/>
          <w:b/>
          <w:sz w:val="28"/>
          <w:szCs w:val="28"/>
        </w:rPr>
        <w:instrText xml:space="preserve">TOC \o "1-3" \h \z \u</w:instrText>
      </w:r>
      <w:r>
        <w:rPr>
          <w:rFonts w:ascii="仿宋" w:hAnsi="仿宋" w:eastAsia="仿宋"/>
          <w:b/>
          <w:sz w:val="28"/>
          <w:szCs w:val="28"/>
        </w:rPr>
        <w:instrText xml:space="preserve"> </w:instrText>
      </w:r>
      <w:r>
        <w:rPr>
          <w:rFonts w:ascii="仿宋" w:hAnsi="仿宋" w:eastAsia="仿宋"/>
          <w:b/>
          <w:sz w:val="28"/>
          <w:szCs w:val="28"/>
        </w:rPr>
        <w:fldChar w:fldCharType="separate"/>
      </w:r>
    </w:p>
    <w:p>
      <w:pPr>
        <w:pStyle w:val="8"/>
        <w:rPr>
          <w:rFonts w:ascii="仿宋" w:hAnsi="仿宋" w:eastAsia="仿宋" w:cstheme="minorBidi"/>
          <w:szCs w:val="28"/>
        </w:rPr>
      </w:pPr>
      <w:r>
        <w:fldChar w:fldCharType="begin"/>
      </w:r>
      <w:r>
        <w:instrText xml:space="preserve"> HYPERLINK \l "_Toc72315863" </w:instrText>
      </w:r>
      <w:r>
        <w:fldChar w:fldCharType="separate"/>
      </w:r>
      <w:r>
        <w:rPr>
          <w:rStyle w:val="13"/>
          <w:rFonts w:hint="eastAsia" w:ascii="仿宋" w:hAnsi="仿宋" w:eastAsia="仿宋"/>
          <w:szCs w:val="28"/>
        </w:rPr>
        <w:t>一、基本情况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_Toc72315863 \h </w:instrText>
      </w:r>
      <w:r>
        <w:rPr>
          <w:rFonts w:ascii="仿宋" w:hAnsi="仿宋" w:eastAsia="仿宋"/>
          <w:szCs w:val="28"/>
        </w:rPr>
        <w:fldChar w:fldCharType="separate"/>
      </w:r>
      <w:r>
        <w:rPr>
          <w:rFonts w:ascii="仿宋" w:hAnsi="仿宋" w:eastAsia="仿宋"/>
          <w:szCs w:val="28"/>
        </w:rPr>
        <w:t>1</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"_Toc72315864" </w:instrText>
      </w:r>
      <w:r>
        <w:fldChar w:fldCharType="separate"/>
      </w:r>
      <w:r>
        <w:rPr>
          <w:rStyle w:val="13"/>
          <w:rFonts w:hint="eastAsia" w:ascii="仿宋" w:hAnsi="仿宋" w:eastAsia="仿宋"/>
          <w:kern w:val="0"/>
          <w:szCs w:val="28"/>
        </w:rPr>
        <w:t>（一）项目概况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_Toc72315864 \h </w:instrText>
      </w:r>
      <w:r>
        <w:rPr>
          <w:rFonts w:ascii="仿宋" w:hAnsi="仿宋" w:eastAsia="仿宋"/>
          <w:szCs w:val="28"/>
        </w:rPr>
        <w:fldChar w:fldCharType="separate"/>
      </w:r>
      <w:r>
        <w:rPr>
          <w:rFonts w:ascii="仿宋" w:hAnsi="仿宋" w:eastAsia="仿宋"/>
          <w:szCs w:val="28"/>
        </w:rPr>
        <w:t>1</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"_Toc72315865" </w:instrText>
      </w:r>
      <w:r>
        <w:fldChar w:fldCharType="separate"/>
      </w:r>
      <w:r>
        <w:rPr>
          <w:rStyle w:val="13"/>
          <w:rFonts w:hint="eastAsia" w:ascii="仿宋" w:hAnsi="仿宋" w:eastAsia="仿宋"/>
          <w:kern w:val="0"/>
          <w:szCs w:val="28"/>
        </w:rPr>
        <w:t>（二）项目绩效目标</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_Toc72315865 \h </w:instrText>
      </w:r>
      <w:r>
        <w:rPr>
          <w:rFonts w:ascii="仿宋" w:hAnsi="仿宋" w:eastAsia="仿宋"/>
          <w:szCs w:val="28"/>
        </w:rPr>
        <w:fldChar w:fldCharType="separate"/>
      </w:r>
      <w:r>
        <w:rPr>
          <w:rFonts w:ascii="仿宋" w:hAnsi="仿宋" w:eastAsia="仿宋"/>
          <w:szCs w:val="28"/>
        </w:rPr>
        <w:t>3</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"_Toc72315866" </w:instrText>
      </w:r>
      <w:r>
        <w:fldChar w:fldCharType="separate"/>
      </w:r>
      <w:r>
        <w:rPr>
          <w:rStyle w:val="13"/>
          <w:rFonts w:hint="eastAsia" w:ascii="仿宋" w:hAnsi="仿宋" w:eastAsia="仿宋"/>
          <w:szCs w:val="28"/>
        </w:rPr>
        <w:t>二、绩效评价工作开展情况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_Toc72315866 \h </w:instrText>
      </w:r>
      <w:r>
        <w:rPr>
          <w:rFonts w:ascii="仿宋" w:hAnsi="仿宋" w:eastAsia="仿宋"/>
          <w:szCs w:val="28"/>
        </w:rPr>
        <w:fldChar w:fldCharType="separate"/>
      </w:r>
      <w:r>
        <w:rPr>
          <w:rFonts w:ascii="仿宋" w:hAnsi="仿宋" w:eastAsia="仿宋"/>
          <w:szCs w:val="28"/>
        </w:rPr>
        <w:t>3</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"_Toc72315867" </w:instrText>
      </w:r>
      <w:r>
        <w:fldChar w:fldCharType="separate"/>
      </w:r>
      <w:r>
        <w:rPr>
          <w:rStyle w:val="13"/>
          <w:rFonts w:hint="eastAsia" w:ascii="仿宋" w:hAnsi="仿宋" w:eastAsia="仿宋"/>
          <w:kern w:val="0"/>
          <w:szCs w:val="28"/>
        </w:rPr>
        <w:t>（一）绩效评价目的、对象和范围</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_Toc72315867 \h </w:instrText>
      </w:r>
      <w:r>
        <w:rPr>
          <w:rFonts w:ascii="仿宋" w:hAnsi="仿宋" w:eastAsia="仿宋"/>
          <w:szCs w:val="28"/>
        </w:rPr>
        <w:fldChar w:fldCharType="separate"/>
      </w:r>
      <w:r>
        <w:rPr>
          <w:rFonts w:ascii="仿宋" w:hAnsi="仿宋" w:eastAsia="仿宋"/>
          <w:szCs w:val="28"/>
        </w:rPr>
        <w:t>3</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"_Toc72315868" </w:instrText>
      </w:r>
      <w:r>
        <w:fldChar w:fldCharType="separate"/>
      </w:r>
      <w:r>
        <w:rPr>
          <w:rStyle w:val="13"/>
          <w:rFonts w:hint="eastAsia" w:ascii="仿宋" w:hAnsi="仿宋" w:eastAsia="仿宋"/>
          <w:kern w:val="0"/>
          <w:szCs w:val="28"/>
        </w:rPr>
        <w:t>（二）绩效评价原则、评价指标体系（附表说明）、评价方法、评价标准等</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_Toc72315868 \h </w:instrText>
      </w:r>
      <w:r>
        <w:rPr>
          <w:rFonts w:ascii="仿宋" w:hAnsi="仿宋" w:eastAsia="仿宋"/>
          <w:szCs w:val="28"/>
        </w:rPr>
        <w:fldChar w:fldCharType="separate"/>
      </w:r>
      <w:r>
        <w:rPr>
          <w:rFonts w:ascii="仿宋" w:hAnsi="仿宋" w:eastAsia="仿宋"/>
          <w:szCs w:val="28"/>
        </w:rPr>
        <w:t>4</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"_Toc72315869" </w:instrText>
      </w:r>
      <w:r>
        <w:fldChar w:fldCharType="separate"/>
      </w:r>
      <w:r>
        <w:rPr>
          <w:rStyle w:val="13"/>
          <w:rFonts w:hint="eastAsia" w:ascii="仿宋" w:hAnsi="仿宋" w:eastAsia="仿宋"/>
          <w:kern w:val="0"/>
          <w:szCs w:val="28"/>
        </w:rPr>
        <w:t>（三）绩效评价工作过程</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_Toc72315869 \h </w:instrText>
      </w:r>
      <w:r>
        <w:rPr>
          <w:rFonts w:ascii="仿宋" w:hAnsi="仿宋" w:eastAsia="仿宋"/>
          <w:szCs w:val="28"/>
        </w:rPr>
        <w:fldChar w:fldCharType="separate"/>
      </w:r>
      <w:r>
        <w:rPr>
          <w:rFonts w:ascii="仿宋" w:hAnsi="仿宋" w:eastAsia="仿宋"/>
          <w:szCs w:val="28"/>
        </w:rPr>
        <w:t>12</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"_Toc72315870" </w:instrText>
      </w:r>
      <w:r>
        <w:fldChar w:fldCharType="separate"/>
      </w:r>
      <w:r>
        <w:rPr>
          <w:rStyle w:val="13"/>
          <w:rFonts w:hint="eastAsia" w:ascii="仿宋" w:hAnsi="仿宋" w:eastAsia="仿宋"/>
          <w:szCs w:val="28"/>
        </w:rPr>
        <w:t>三、综合评价情况及评价结论（附相关评分表）</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_Toc72315870 \h </w:instrText>
      </w:r>
      <w:r>
        <w:rPr>
          <w:rFonts w:ascii="仿宋" w:hAnsi="仿宋" w:eastAsia="仿宋"/>
          <w:szCs w:val="28"/>
        </w:rPr>
        <w:fldChar w:fldCharType="separate"/>
      </w:r>
      <w:r>
        <w:rPr>
          <w:rFonts w:ascii="仿宋" w:hAnsi="仿宋" w:eastAsia="仿宋"/>
          <w:szCs w:val="28"/>
        </w:rPr>
        <w:t>14</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"_Toc72315871" </w:instrText>
      </w:r>
      <w:r>
        <w:fldChar w:fldCharType="separate"/>
      </w:r>
      <w:r>
        <w:rPr>
          <w:rStyle w:val="13"/>
          <w:rFonts w:hint="eastAsia" w:ascii="仿宋" w:hAnsi="仿宋" w:eastAsia="仿宋"/>
          <w:szCs w:val="28"/>
        </w:rPr>
        <w:t>四、绩效评价指标分析</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_Toc72315871 \h </w:instrText>
      </w:r>
      <w:r>
        <w:rPr>
          <w:rFonts w:ascii="仿宋" w:hAnsi="仿宋" w:eastAsia="仿宋"/>
          <w:szCs w:val="28"/>
        </w:rPr>
        <w:fldChar w:fldCharType="separate"/>
      </w:r>
      <w:r>
        <w:rPr>
          <w:rFonts w:ascii="仿宋" w:hAnsi="仿宋" w:eastAsia="仿宋"/>
          <w:szCs w:val="28"/>
        </w:rPr>
        <w:t>14</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"_Toc72315872" </w:instrText>
      </w:r>
      <w:r>
        <w:fldChar w:fldCharType="separate"/>
      </w:r>
      <w:r>
        <w:rPr>
          <w:rStyle w:val="13"/>
          <w:rFonts w:hint="eastAsia" w:ascii="仿宋" w:hAnsi="仿宋" w:eastAsia="仿宋"/>
          <w:kern w:val="0"/>
          <w:szCs w:val="28"/>
        </w:rPr>
        <w:t>（一）项目决策情况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_Toc72315872 \h </w:instrText>
      </w:r>
      <w:r>
        <w:rPr>
          <w:rFonts w:ascii="仿宋" w:hAnsi="仿宋" w:eastAsia="仿宋"/>
          <w:szCs w:val="28"/>
        </w:rPr>
        <w:fldChar w:fldCharType="separate"/>
      </w:r>
      <w:r>
        <w:rPr>
          <w:rFonts w:ascii="仿宋" w:hAnsi="仿宋" w:eastAsia="仿宋"/>
          <w:szCs w:val="28"/>
        </w:rPr>
        <w:t>14</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"_Toc72315873" </w:instrText>
      </w:r>
      <w:r>
        <w:fldChar w:fldCharType="separate"/>
      </w:r>
      <w:r>
        <w:rPr>
          <w:rStyle w:val="13"/>
          <w:rFonts w:hint="eastAsia" w:ascii="仿宋" w:hAnsi="仿宋" w:eastAsia="仿宋"/>
          <w:kern w:val="0"/>
          <w:szCs w:val="28"/>
        </w:rPr>
        <w:t>（二）项目过程情况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_Toc72315873 \h </w:instrText>
      </w:r>
      <w:r>
        <w:rPr>
          <w:rFonts w:ascii="仿宋" w:hAnsi="仿宋" w:eastAsia="仿宋"/>
          <w:szCs w:val="28"/>
        </w:rPr>
        <w:fldChar w:fldCharType="separate"/>
      </w:r>
      <w:r>
        <w:rPr>
          <w:rFonts w:ascii="仿宋" w:hAnsi="仿宋" w:eastAsia="仿宋"/>
          <w:szCs w:val="28"/>
        </w:rPr>
        <w:t>16</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"_Toc72315874" </w:instrText>
      </w:r>
      <w:r>
        <w:fldChar w:fldCharType="separate"/>
      </w:r>
      <w:r>
        <w:rPr>
          <w:rStyle w:val="13"/>
          <w:rFonts w:hint="eastAsia" w:ascii="仿宋" w:hAnsi="仿宋" w:eastAsia="仿宋"/>
          <w:kern w:val="0"/>
          <w:szCs w:val="28"/>
        </w:rPr>
        <w:t>（三）项目产出情况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_Toc72315874 \h </w:instrText>
      </w:r>
      <w:r>
        <w:rPr>
          <w:rFonts w:ascii="仿宋" w:hAnsi="仿宋" w:eastAsia="仿宋"/>
          <w:szCs w:val="28"/>
        </w:rPr>
        <w:fldChar w:fldCharType="separate"/>
      </w:r>
      <w:r>
        <w:rPr>
          <w:rFonts w:ascii="仿宋" w:hAnsi="仿宋" w:eastAsia="仿宋"/>
          <w:szCs w:val="28"/>
        </w:rPr>
        <w:t>18</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"_Toc72315875" </w:instrText>
      </w:r>
      <w:r>
        <w:fldChar w:fldCharType="separate"/>
      </w:r>
      <w:r>
        <w:rPr>
          <w:rStyle w:val="13"/>
          <w:rFonts w:hint="eastAsia" w:ascii="仿宋" w:hAnsi="仿宋" w:eastAsia="仿宋"/>
          <w:kern w:val="0"/>
          <w:szCs w:val="28"/>
        </w:rPr>
        <w:t>（四）项目效益情况</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_Toc72315875 \h </w:instrText>
      </w:r>
      <w:r>
        <w:rPr>
          <w:rFonts w:ascii="仿宋" w:hAnsi="仿宋" w:eastAsia="仿宋"/>
          <w:szCs w:val="28"/>
        </w:rPr>
        <w:fldChar w:fldCharType="separate"/>
      </w:r>
      <w:r>
        <w:rPr>
          <w:rFonts w:ascii="仿宋" w:hAnsi="仿宋" w:eastAsia="仿宋"/>
          <w:szCs w:val="28"/>
        </w:rPr>
        <w:t>19</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"_Toc72315876" </w:instrText>
      </w:r>
      <w:r>
        <w:fldChar w:fldCharType="separate"/>
      </w:r>
      <w:r>
        <w:rPr>
          <w:rStyle w:val="13"/>
          <w:rFonts w:hint="eastAsia" w:ascii="仿宋" w:hAnsi="仿宋" w:eastAsia="仿宋"/>
          <w:szCs w:val="28"/>
        </w:rPr>
        <w:t>五、主要经验及做法、存在的问题及原因分析</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_Toc72315876 \h </w:instrText>
      </w:r>
      <w:r>
        <w:rPr>
          <w:rFonts w:ascii="仿宋" w:hAnsi="仿宋" w:eastAsia="仿宋"/>
          <w:szCs w:val="28"/>
        </w:rPr>
        <w:fldChar w:fldCharType="separate"/>
      </w:r>
      <w:r>
        <w:rPr>
          <w:rFonts w:ascii="仿宋" w:hAnsi="仿宋" w:eastAsia="仿宋"/>
          <w:szCs w:val="28"/>
        </w:rPr>
        <w:t>23</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"_Toc72315877" </w:instrText>
      </w:r>
      <w:r>
        <w:fldChar w:fldCharType="separate"/>
      </w:r>
      <w:r>
        <w:rPr>
          <w:rStyle w:val="13"/>
          <w:rFonts w:hint="eastAsia" w:ascii="仿宋" w:hAnsi="仿宋" w:eastAsia="仿宋"/>
          <w:kern w:val="0"/>
          <w:szCs w:val="28"/>
        </w:rPr>
        <w:t>（一）主要经验及做法</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_Toc72315877 \h </w:instrText>
      </w:r>
      <w:r>
        <w:rPr>
          <w:rFonts w:ascii="仿宋" w:hAnsi="仿宋" w:eastAsia="仿宋"/>
          <w:szCs w:val="28"/>
        </w:rPr>
        <w:fldChar w:fldCharType="separate"/>
      </w:r>
      <w:r>
        <w:rPr>
          <w:rFonts w:ascii="仿宋" w:hAnsi="仿宋" w:eastAsia="仿宋"/>
          <w:szCs w:val="28"/>
        </w:rPr>
        <w:t>24</w:t>
      </w:r>
      <w:r>
        <w:rPr>
          <w:rFonts w:ascii="仿宋" w:hAnsi="仿宋" w:eastAsia="仿宋"/>
          <w:szCs w:val="28"/>
        </w:rPr>
        <w:fldChar w:fldCharType="end"/>
      </w:r>
      <w:r>
        <w:rPr>
          <w:rFonts w:ascii="仿宋" w:hAnsi="仿宋" w:eastAsia="仿宋"/>
          <w:szCs w:val="28"/>
        </w:rPr>
        <w:fldChar w:fldCharType="end"/>
      </w:r>
    </w:p>
    <w:p>
      <w:pPr>
        <w:pStyle w:val="9"/>
        <w:tabs>
          <w:tab w:val="right" w:leader="dot" w:pos="8296"/>
        </w:tabs>
        <w:ind w:firstLine="560"/>
        <w:rPr>
          <w:rFonts w:ascii="仿宋" w:hAnsi="仿宋" w:eastAsia="仿宋" w:cstheme="minorBidi"/>
          <w:szCs w:val="28"/>
        </w:rPr>
      </w:pPr>
      <w:r>
        <w:fldChar w:fldCharType="begin"/>
      </w:r>
      <w:r>
        <w:instrText xml:space="preserve"> HYPERLINK \l "_Toc72315878" </w:instrText>
      </w:r>
      <w:r>
        <w:fldChar w:fldCharType="separate"/>
      </w:r>
      <w:r>
        <w:rPr>
          <w:rStyle w:val="13"/>
          <w:rFonts w:hint="eastAsia" w:ascii="仿宋" w:hAnsi="仿宋" w:eastAsia="仿宋"/>
          <w:kern w:val="0"/>
          <w:szCs w:val="28"/>
        </w:rPr>
        <w:t>（二）存在的问题</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_Toc72315878 \h </w:instrText>
      </w:r>
      <w:r>
        <w:rPr>
          <w:rFonts w:ascii="仿宋" w:hAnsi="仿宋" w:eastAsia="仿宋"/>
          <w:szCs w:val="28"/>
        </w:rPr>
        <w:fldChar w:fldCharType="separate"/>
      </w:r>
      <w:r>
        <w:rPr>
          <w:rFonts w:ascii="仿宋" w:hAnsi="仿宋" w:eastAsia="仿宋"/>
          <w:szCs w:val="28"/>
        </w:rPr>
        <w:t>24</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"_Toc72315879" </w:instrText>
      </w:r>
      <w:r>
        <w:fldChar w:fldCharType="separate"/>
      </w:r>
      <w:r>
        <w:rPr>
          <w:rStyle w:val="13"/>
          <w:rFonts w:hint="eastAsia" w:ascii="仿宋" w:hAnsi="仿宋" w:eastAsia="仿宋"/>
          <w:szCs w:val="28"/>
        </w:rPr>
        <w:t>六、有关建议</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_Toc72315879 \h </w:instrText>
      </w:r>
      <w:r>
        <w:rPr>
          <w:rFonts w:ascii="仿宋" w:hAnsi="仿宋" w:eastAsia="仿宋"/>
          <w:szCs w:val="28"/>
        </w:rPr>
        <w:fldChar w:fldCharType="separate"/>
      </w:r>
      <w:r>
        <w:rPr>
          <w:rFonts w:ascii="仿宋" w:hAnsi="仿宋" w:eastAsia="仿宋"/>
          <w:szCs w:val="28"/>
        </w:rPr>
        <w:t>25</w:t>
      </w:r>
      <w:r>
        <w:rPr>
          <w:rFonts w:ascii="仿宋" w:hAnsi="仿宋" w:eastAsia="仿宋"/>
          <w:szCs w:val="28"/>
        </w:rPr>
        <w:fldChar w:fldCharType="end"/>
      </w:r>
      <w:r>
        <w:rPr>
          <w:rFonts w:ascii="仿宋" w:hAnsi="仿宋" w:eastAsia="仿宋"/>
          <w:szCs w:val="28"/>
        </w:rPr>
        <w:fldChar w:fldCharType="end"/>
      </w:r>
    </w:p>
    <w:p>
      <w:pPr>
        <w:pStyle w:val="8"/>
        <w:rPr>
          <w:rFonts w:ascii="仿宋" w:hAnsi="仿宋" w:eastAsia="仿宋" w:cstheme="minorBidi"/>
          <w:szCs w:val="28"/>
        </w:rPr>
      </w:pPr>
      <w:r>
        <w:fldChar w:fldCharType="begin"/>
      </w:r>
      <w:r>
        <w:instrText xml:space="preserve"> HYPERLINK \l "_Toc72315880" </w:instrText>
      </w:r>
      <w:r>
        <w:fldChar w:fldCharType="separate"/>
      </w:r>
      <w:r>
        <w:rPr>
          <w:rStyle w:val="13"/>
          <w:rFonts w:hint="eastAsia" w:ascii="仿宋" w:hAnsi="仿宋" w:eastAsia="仿宋"/>
          <w:szCs w:val="28"/>
        </w:rPr>
        <w:t>七、其他需要说明的问题</w:t>
      </w:r>
      <w:r>
        <w:rPr>
          <w:rFonts w:ascii="仿宋" w:hAnsi="仿宋" w:eastAsia="仿宋"/>
          <w:szCs w:val="28"/>
        </w:rPr>
        <w:tab/>
      </w:r>
      <w:r>
        <w:rPr>
          <w:rFonts w:ascii="仿宋" w:hAnsi="仿宋" w:eastAsia="仿宋"/>
          <w:szCs w:val="28"/>
        </w:rPr>
        <w:fldChar w:fldCharType="begin"/>
      </w:r>
      <w:r>
        <w:rPr>
          <w:rFonts w:ascii="仿宋" w:hAnsi="仿宋" w:eastAsia="仿宋"/>
          <w:szCs w:val="28"/>
        </w:rPr>
        <w:instrText xml:space="preserve"> PAGEREF _Toc72315880 \h </w:instrText>
      </w:r>
      <w:r>
        <w:rPr>
          <w:rFonts w:ascii="仿宋" w:hAnsi="仿宋" w:eastAsia="仿宋"/>
          <w:szCs w:val="28"/>
        </w:rPr>
        <w:fldChar w:fldCharType="separate"/>
      </w:r>
      <w:r>
        <w:rPr>
          <w:rFonts w:ascii="仿宋" w:hAnsi="仿宋" w:eastAsia="仿宋"/>
          <w:szCs w:val="28"/>
        </w:rPr>
        <w:t>25</w:t>
      </w:r>
      <w:r>
        <w:rPr>
          <w:rFonts w:ascii="仿宋" w:hAnsi="仿宋" w:eastAsia="仿宋"/>
          <w:szCs w:val="28"/>
        </w:rPr>
        <w:fldChar w:fldCharType="end"/>
      </w:r>
      <w:r>
        <w:rPr>
          <w:rFonts w:ascii="仿宋" w:hAnsi="仿宋" w:eastAsia="仿宋"/>
          <w:szCs w:val="28"/>
        </w:rPr>
        <w:fldChar w:fldCharType="end"/>
      </w:r>
    </w:p>
    <w:p>
      <w:pPr>
        <w:jc w:val="center"/>
        <w:rPr>
          <w:rFonts w:ascii="仿宋" w:hAnsi="仿宋" w:eastAsia="仿宋"/>
          <w:szCs w:val="28"/>
        </w:rPr>
      </w:pPr>
      <w:r>
        <w:rPr>
          <w:rFonts w:ascii="仿宋" w:hAnsi="仿宋" w:eastAsia="仿宋"/>
          <w:sz w:val="28"/>
          <w:szCs w:val="28"/>
        </w:rPr>
        <w:fldChar w:fldCharType="end"/>
      </w:r>
    </w:p>
    <w:p>
      <w:pPr>
        <w:jc w:val="center"/>
        <w:rPr>
          <w:rFonts w:ascii="仿宋" w:hAnsi="仿宋" w:eastAsia="仿宋"/>
          <w:szCs w:val="28"/>
        </w:rPr>
      </w:pPr>
    </w:p>
    <w:p>
      <w:pPr>
        <w:jc w:val="center"/>
        <w:rPr>
          <w:rFonts w:ascii="仿宋" w:hAnsi="仿宋" w:eastAsia="仿宋"/>
          <w:szCs w:val="28"/>
        </w:rPr>
        <w:sectPr>
          <w:footerReference r:id="rId5" w:type="default"/>
          <w:pgSz w:w="11906" w:h="16838"/>
          <w:pgMar w:top="1440" w:right="1800" w:bottom="1440" w:left="1800" w:header="851" w:footer="992" w:gutter="0"/>
          <w:cols w:space="425" w:num="1"/>
          <w:docGrid w:type="lines" w:linePitch="312" w:charSpace="0"/>
        </w:sectPr>
      </w:pPr>
    </w:p>
    <w:p>
      <w:pPr>
        <w:rPr>
          <w:rFonts w:ascii="仿宋" w:hAnsi="仿宋" w:eastAsia="仿宋"/>
          <w:szCs w:val="28"/>
        </w:rPr>
      </w:pPr>
    </w:p>
    <w:p>
      <w:pPr>
        <w:jc w:val="center"/>
        <w:rPr>
          <w:rFonts w:ascii="宋体" w:hAnsi="宋体" w:cs="Arial"/>
          <w:b/>
          <w:bCs/>
          <w:sz w:val="36"/>
          <w:szCs w:val="36"/>
        </w:rPr>
      </w:pPr>
      <w:r>
        <w:rPr>
          <w:rFonts w:hint="eastAsia" w:ascii="宋体" w:hAnsi="宋体" w:cs="Arial"/>
          <w:b/>
          <w:bCs/>
          <w:sz w:val="36"/>
          <w:szCs w:val="36"/>
        </w:rPr>
        <w:t>北京市市场监督管理局</w:t>
      </w:r>
    </w:p>
    <w:p>
      <w:pPr>
        <w:jc w:val="center"/>
        <w:rPr>
          <w:rFonts w:ascii="宋体" w:hAnsi="宋体" w:cs="Arial"/>
          <w:b/>
          <w:bCs/>
          <w:sz w:val="36"/>
          <w:szCs w:val="36"/>
        </w:rPr>
      </w:pPr>
      <w:r>
        <w:rPr>
          <w:rFonts w:hint="eastAsia" w:ascii="宋体" w:hAnsi="宋体" w:cs="Arial"/>
          <w:b/>
          <w:bCs/>
          <w:sz w:val="36"/>
          <w:szCs w:val="36"/>
        </w:rPr>
        <w:t>“追加2020年北京市商务楼宇信息监测系统升级改造验收项目”项目支出绩效评价报告</w:t>
      </w:r>
    </w:p>
    <w:p>
      <w:pPr>
        <w:spacing w:line="360" w:lineRule="auto"/>
        <w:ind w:firstLine="560" w:firstLineChars="200"/>
        <w:rPr>
          <w:rFonts w:ascii="仿宋" w:hAnsi="仿宋" w:eastAsia="仿宋"/>
          <w:color w:val="000000" w:themeColor="text1"/>
          <w:kern w:val="0"/>
          <w:sz w:val="28"/>
          <w:szCs w:val="28"/>
        </w:rPr>
      </w:pPr>
      <w:r>
        <w:rPr>
          <w:rFonts w:hint="eastAsia" w:ascii="仿宋" w:hAnsi="仿宋" w:eastAsia="仿宋"/>
          <w:color w:val="000000"/>
          <w:kern w:val="0"/>
          <w:sz w:val="28"/>
          <w:szCs w:val="28"/>
        </w:rPr>
        <w:t>为进一步提高财政支出管理水平，评价财政支出预期目标实现程度，考核财政支出效率和综合效果，为以后年度财政资金安排提供重要依据，</w:t>
      </w:r>
      <w:r>
        <w:rPr>
          <w:rFonts w:hint="eastAsia" w:ascii="仿宋" w:hAnsi="仿宋" w:eastAsia="仿宋"/>
          <w:color w:val="000000"/>
          <w:sz w:val="28"/>
          <w:szCs w:val="28"/>
        </w:rPr>
        <w:t>根据《北京市项目支出绩效评价管理办法》（京财绩效〔2020〕2146号）和《北京市财政局关于开展2021年绩效自评工作的通知》（京财绩效〔2021〕283号）等文件规定</w:t>
      </w:r>
      <w:r>
        <w:rPr>
          <w:rFonts w:hint="eastAsia" w:ascii="仿宋" w:hAnsi="仿宋" w:eastAsia="仿宋"/>
          <w:color w:val="000000"/>
          <w:kern w:val="0"/>
          <w:sz w:val="28"/>
          <w:szCs w:val="28"/>
        </w:rPr>
        <w:t>，北京市市场监督管理局成立绩效评价工作组对“</w:t>
      </w:r>
      <w:r>
        <w:rPr>
          <w:rFonts w:hint="eastAsia" w:ascii="仿宋" w:hAnsi="仿宋" w:eastAsia="仿宋"/>
          <w:sz w:val="28"/>
          <w:szCs w:val="28"/>
        </w:rPr>
        <w:t>追加2020年北京市商务楼宇信息监测系统升级改造验收项目</w:t>
      </w:r>
      <w:r>
        <w:rPr>
          <w:rFonts w:hint="eastAsia" w:ascii="仿宋" w:hAnsi="仿宋" w:eastAsia="仿宋"/>
          <w:color w:val="000000"/>
          <w:kern w:val="0"/>
          <w:sz w:val="28"/>
          <w:szCs w:val="28"/>
        </w:rPr>
        <w:t>”</w:t>
      </w:r>
      <w:r>
        <w:rPr>
          <w:rFonts w:hint="eastAsia" w:ascii="仿宋" w:hAnsi="仿宋" w:eastAsia="仿宋"/>
          <w:color w:val="000000" w:themeColor="text1"/>
          <w:kern w:val="0"/>
          <w:sz w:val="28"/>
          <w:szCs w:val="28"/>
        </w:rPr>
        <w:t>项目决策、管理、及绩效情况开展整体评价，形成本绩效评价报告。</w:t>
      </w:r>
    </w:p>
    <w:p>
      <w:pPr>
        <w:pStyle w:val="2"/>
        <w:spacing w:beforeLines="50" w:afterLines="50"/>
        <w:ind w:left="0" w:firstLine="562"/>
        <w:jc w:val="left"/>
        <w:rPr>
          <w:rFonts w:ascii="仿宋" w:hAnsi="仿宋" w:eastAsia="仿宋"/>
          <w:color w:val="000000" w:themeColor="text1"/>
          <w:sz w:val="28"/>
          <w:szCs w:val="28"/>
        </w:rPr>
      </w:pPr>
      <w:bookmarkStart w:id="0" w:name="_Toc72315863"/>
      <w:r>
        <w:rPr>
          <w:rFonts w:hint="eastAsia" w:ascii="仿宋" w:hAnsi="仿宋" w:eastAsia="仿宋"/>
          <w:color w:val="000000" w:themeColor="text1"/>
          <w:sz w:val="28"/>
          <w:szCs w:val="28"/>
        </w:rPr>
        <w:t>一、基本情况</w:t>
      </w:r>
      <w:bookmarkEnd w:id="0"/>
    </w:p>
    <w:p>
      <w:pPr>
        <w:pStyle w:val="3"/>
        <w:spacing w:before="0" w:after="0" w:line="360" w:lineRule="auto"/>
        <w:ind w:firstLine="562" w:firstLineChars="200"/>
        <w:rPr>
          <w:rFonts w:ascii="仿宋" w:hAnsi="仿宋" w:eastAsia="仿宋"/>
          <w:color w:val="000000" w:themeColor="text1"/>
          <w:kern w:val="0"/>
          <w:sz w:val="28"/>
          <w:szCs w:val="28"/>
        </w:rPr>
      </w:pPr>
      <w:bookmarkStart w:id="1" w:name="_Toc72315864"/>
      <w:r>
        <w:rPr>
          <w:rFonts w:hint="eastAsia" w:ascii="仿宋" w:hAnsi="仿宋" w:eastAsia="仿宋"/>
          <w:color w:val="000000" w:themeColor="text1"/>
          <w:kern w:val="0"/>
          <w:sz w:val="28"/>
          <w:szCs w:val="28"/>
        </w:rPr>
        <w:t>（一）项目概况</w:t>
      </w:r>
      <w:bookmarkEnd w:id="1"/>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1.项目背景</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随着楼宇经济的飞速发展，作为城市社会治理最基础的物理单元，商务楼宇汇聚了大量的人才流、资金流和信息流。与此同时，由于商务楼宇本身存在私密性、流动性的特点，造成的“楼宇底数不清”、“经营情况不明”等问题亟待解决。为落实市领导指示精神，落实营商环境相关政策要求，创新监管模式加强事中事后监管，提升我市商务楼宇服务能力和管理水平，支撑楼宇经济发展，北京市市场监督管理局牵头开展了北京市商务楼宇信息监测系统升级改造工作。</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2.主要内容及实施情况</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北京市商务楼宇信息监测系统升级改造”项目主要建设内容包括综合分析服务子系统、经济决策辅助子系统、社会共治应用子系统、风险监测预警子系统、楼宇智慧服务子系统、业务应用支持以及楼宇信息数据库等七个子系统。本次对“追加2020年北京市商务楼宇信息监测系统升级改造验收项目”批复的687万元验收款进行绩效评价。</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的实施主体是北京市市场监督管理局市场监督管理一处，处室主要职责包括：负责拟订本市市场主体监督管理具体实施办法。组织指导市场主体年报公示，承担公示信息的抽查、异议处理以及日常监督检查等基础工作。拟订查处无照经营的方案并组织实施。组织实施市场主体经营异常名录和“黑名单”制度。调查研究个体、私营经济发展与管理情况，指导北京市私营个体经济协会工作。负责小微企业名录相关信息归集工作。</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为保障项目建设过程符合规范、达到预期目标，项目成立了领导小组并编制完成了《北京市商务楼宇信息监测系统升级改造项目管理办法》，就项目组织架构、项目管理、合同管理、质量管理、进度管理、资金管理、沟通管理、文档管理、人员管理、变更管理、验收管理等项目建设过程中各方职责和工作机制进行了明确规定。在整个项目建设过程中，严格执行项目管理办法，采用了三方周例会制度、周报制度、月报制度以及不定期的专题会议机制，对发现的问题及时调整，确保项目按照既定目标有序的推进开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3.资金投入和使用情况</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北京市商务楼宇信息监测系统升级改造</w:t>
      </w:r>
      <w:r>
        <w:rPr>
          <w:rFonts w:ascii="仿宋" w:hAnsi="仿宋" w:eastAsia="仿宋"/>
          <w:color w:val="000000"/>
          <w:kern w:val="0"/>
          <w:sz w:val="28"/>
          <w:szCs w:val="28"/>
        </w:rPr>
        <w:t>项目投资概算金额</w:t>
      </w:r>
      <w:r>
        <w:rPr>
          <w:rFonts w:hint="eastAsia" w:ascii="仿宋" w:hAnsi="仿宋" w:eastAsia="仿宋"/>
          <w:color w:val="000000"/>
          <w:kern w:val="0"/>
          <w:sz w:val="28"/>
          <w:szCs w:val="28"/>
        </w:rPr>
        <w:t>3857.5万元，</w:t>
      </w:r>
      <w:r>
        <w:rPr>
          <w:rFonts w:ascii="仿宋" w:hAnsi="仿宋" w:eastAsia="仿宋"/>
          <w:color w:val="000000"/>
          <w:kern w:val="0"/>
          <w:sz w:val="28"/>
          <w:szCs w:val="28"/>
        </w:rPr>
        <w:t>2019</w:t>
      </w:r>
      <w:r>
        <w:rPr>
          <w:rFonts w:hint="eastAsia" w:ascii="仿宋" w:hAnsi="仿宋" w:eastAsia="仿宋"/>
          <w:color w:val="000000"/>
          <w:kern w:val="0"/>
          <w:sz w:val="28"/>
          <w:szCs w:val="28"/>
        </w:rPr>
        <w:t>年1</w:t>
      </w:r>
      <w:r>
        <w:rPr>
          <w:rFonts w:ascii="仿宋" w:hAnsi="仿宋" w:eastAsia="仿宋"/>
          <w:color w:val="000000"/>
          <w:kern w:val="0"/>
          <w:sz w:val="28"/>
          <w:szCs w:val="28"/>
        </w:rPr>
        <w:t>1</w:t>
      </w:r>
      <w:r>
        <w:rPr>
          <w:rFonts w:hint="eastAsia" w:ascii="仿宋" w:hAnsi="仿宋" w:eastAsia="仿宋"/>
          <w:color w:val="000000"/>
          <w:kern w:val="0"/>
          <w:sz w:val="28"/>
          <w:szCs w:val="28"/>
        </w:rPr>
        <w:t>月2</w:t>
      </w:r>
      <w:r>
        <w:rPr>
          <w:rFonts w:ascii="仿宋" w:hAnsi="仿宋" w:eastAsia="仿宋"/>
          <w:color w:val="000000"/>
          <w:kern w:val="0"/>
          <w:sz w:val="28"/>
          <w:szCs w:val="28"/>
        </w:rPr>
        <w:t>6</w:t>
      </w:r>
      <w:r>
        <w:rPr>
          <w:rFonts w:hint="eastAsia" w:ascii="仿宋" w:hAnsi="仿宋" w:eastAsia="仿宋"/>
          <w:color w:val="000000"/>
          <w:kern w:val="0"/>
          <w:sz w:val="28"/>
          <w:szCs w:val="28"/>
        </w:rPr>
        <w:t>日，北京市财政局审定项目投资金额2423.8万元，中标合同总金额2313.2088万元。2019年12月财政批复“北京市商务楼宇信息监测系统升级改造”项目1466.648万元，2020年5月核减74.92184万元，核减后2019年项目预算1391.72616万元（合同首付款）；2020年9月，“追加2020年北京市商务楼宇信息监测系统升级改造验收项目”财政预算批复687万元（验收进度款），剩余尾款列入2021年部门预算。</w:t>
      </w:r>
    </w:p>
    <w:p>
      <w:pPr>
        <w:spacing w:line="360" w:lineRule="auto"/>
        <w:ind w:firstLine="560" w:firstLineChars="200"/>
        <w:rPr>
          <w:rFonts w:ascii="仿宋" w:hAnsi="仿宋" w:eastAsia="仿宋"/>
          <w:color w:val="000000"/>
          <w:kern w:val="0"/>
          <w:sz w:val="28"/>
          <w:szCs w:val="28"/>
        </w:rPr>
      </w:pPr>
      <w:r>
        <w:rPr>
          <w:rFonts w:ascii="仿宋" w:hAnsi="仿宋" w:eastAsia="仿宋"/>
          <w:color w:val="000000"/>
          <w:kern w:val="0"/>
          <w:sz w:val="28"/>
          <w:szCs w:val="28"/>
        </w:rPr>
        <w:t>本项目预算</w:t>
      </w:r>
      <w:r>
        <w:rPr>
          <w:rFonts w:hint="eastAsia" w:ascii="仿宋" w:hAnsi="仿宋" w:eastAsia="仿宋"/>
          <w:color w:val="000000"/>
          <w:kern w:val="0"/>
          <w:sz w:val="28"/>
          <w:szCs w:val="28"/>
        </w:rPr>
        <w:t>687万元均为财政资金，于2020年9月到位，2021年4月27日实际支付687万元，项目预算执行率100%。</w:t>
      </w:r>
    </w:p>
    <w:p>
      <w:pPr>
        <w:pStyle w:val="3"/>
        <w:spacing w:before="0" w:after="0" w:line="360" w:lineRule="auto"/>
        <w:ind w:firstLine="562" w:firstLineChars="200"/>
        <w:rPr>
          <w:rFonts w:ascii="仿宋" w:hAnsi="仿宋" w:eastAsia="仿宋"/>
          <w:kern w:val="0"/>
          <w:sz w:val="28"/>
          <w:szCs w:val="28"/>
        </w:rPr>
      </w:pPr>
      <w:bookmarkStart w:id="2" w:name="_Toc72315865"/>
      <w:r>
        <w:rPr>
          <w:rFonts w:hint="eastAsia" w:ascii="仿宋" w:hAnsi="仿宋" w:eastAsia="仿宋"/>
          <w:kern w:val="0"/>
          <w:sz w:val="28"/>
          <w:szCs w:val="28"/>
        </w:rPr>
        <w:t>（二）项目绩效目标</w:t>
      </w:r>
      <w:bookmarkEnd w:id="2"/>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1.总体目标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本项目年度预期目标为升级改造完成北京市商务楼宇信息监测系统一套，使得系统功能更加完善，商务楼宇信息监管效能得到有力提升，为楼宇经济分析决策提供有力支撑，为社会共治楼宇经济提供有力平台。</w:t>
      </w:r>
    </w:p>
    <w:p>
      <w:pPr>
        <w:pStyle w:val="2"/>
        <w:spacing w:beforeLines="50" w:afterLines="50"/>
        <w:ind w:left="0" w:firstLine="562"/>
        <w:jc w:val="left"/>
        <w:rPr>
          <w:rFonts w:ascii="仿宋" w:hAnsi="仿宋" w:eastAsia="仿宋"/>
          <w:color w:val="000000" w:themeColor="text1"/>
          <w:sz w:val="28"/>
          <w:szCs w:val="28"/>
        </w:rPr>
      </w:pPr>
      <w:bookmarkStart w:id="3" w:name="_Toc72315866"/>
      <w:r>
        <w:rPr>
          <w:rFonts w:hint="eastAsia" w:ascii="仿宋" w:hAnsi="仿宋" w:eastAsia="仿宋"/>
          <w:color w:val="000000" w:themeColor="text1"/>
          <w:sz w:val="28"/>
          <w:szCs w:val="28"/>
        </w:rPr>
        <w:t>二、绩效评价工作开展情况</w:t>
      </w:r>
      <w:bookmarkEnd w:id="3"/>
    </w:p>
    <w:p>
      <w:pPr>
        <w:pStyle w:val="3"/>
        <w:spacing w:before="0" w:after="0" w:line="360" w:lineRule="auto"/>
        <w:ind w:firstLine="562" w:firstLineChars="200"/>
        <w:rPr>
          <w:rFonts w:ascii="仿宋" w:hAnsi="仿宋" w:eastAsia="仿宋"/>
          <w:kern w:val="0"/>
          <w:sz w:val="28"/>
          <w:szCs w:val="28"/>
        </w:rPr>
      </w:pPr>
      <w:bookmarkStart w:id="4" w:name="_Toc72315867"/>
      <w:r>
        <w:rPr>
          <w:rFonts w:hint="eastAsia" w:ascii="仿宋" w:hAnsi="仿宋" w:eastAsia="仿宋"/>
          <w:kern w:val="0"/>
          <w:sz w:val="28"/>
          <w:szCs w:val="28"/>
        </w:rPr>
        <w:t>（一）绩效评价目的、对象和范围</w:t>
      </w:r>
      <w:bookmarkEnd w:id="4"/>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1.评价目的</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通过对北京市市场监督管理局“追加2020年北京市商务楼宇信息监测系统升级改造验收项目”进行绩效评价，全面、客观地反映项目绩效，对预算管理执行过程中存在的不足提出合理化建议，使预算管理更加科学、规范，提高资金使用效率和效益。</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2.评价对象和范围</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w:t>
      </w:r>
      <w:r>
        <w:rPr>
          <w:rFonts w:ascii="仿宋" w:hAnsi="仿宋" w:eastAsia="仿宋"/>
          <w:color w:val="000000"/>
          <w:kern w:val="0"/>
          <w:sz w:val="28"/>
          <w:szCs w:val="28"/>
        </w:rPr>
        <w:t>本次绩效评价对象为北京市市场监督管理局</w:t>
      </w:r>
      <w:r>
        <w:rPr>
          <w:rFonts w:hint="eastAsia" w:ascii="仿宋" w:hAnsi="仿宋" w:eastAsia="仿宋"/>
          <w:color w:val="000000"/>
          <w:kern w:val="0"/>
          <w:sz w:val="28"/>
          <w:szCs w:val="28"/>
        </w:rPr>
        <w:t>2020年“追加2020年北京市商务楼宇信息监测系统升级改造验收项目”。</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（2）评价范围包含项目的决策情况、资金投入管理和使用情况、相关管理制度办法的健全性及执行情况、实现的产出情况、取得的效益情况、其他相关内容。具体分为：</w:t>
      </w:r>
    </w:p>
    <w:p>
      <w:pPr>
        <w:spacing w:line="360" w:lineRule="auto"/>
        <w:ind w:firstLine="560" w:firstLineChars="200"/>
        <w:rPr>
          <w:rFonts w:ascii="仿宋" w:hAnsi="仿宋" w:eastAsia="仿宋"/>
          <w:color w:val="000000"/>
          <w:kern w:val="0"/>
          <w:sz w:val="28"/>
          <w:szCs w:val="28"/>
        </w:rPr>
      </w:pPr>
      <w:r>
        <w:rPr>
          <w:rFonts w:ascii="仿宋" w:hAnsi="仿宋" w:eastAsia="仿宋"/>
          <w:color w:val="000000"/>
          <w:kern w:val="0"/>
          <w:sz w:val="28"/>
          <w:szCs w:val="28"/>
        </w:rPr>
        <w:fldChar w:fldCharType="begin"/>
      </w:r>
      <w:r>
        <w:rPr>
          <w:rFonts w:ascii="仿宋" w:hAnsi="仿宋" w:eastAsia="仿宋"/>
          <w:color w:val="000000"/>
          <w:kern w:val="0"/>
          <w:sz w:val="28"/>
          <w:szCs w:val="28"/>
        </w:rPr>
        <w:instrText xml:space="preserve"> </w:instrText>
      </w:r>
      <w:r>
        <w:rPr>
          <w:rFonts w:hint="eastAsia" w:ascii="仿宋" w:hAnsi="仿宋" w:eastAsia="仿宋"/>
          <w:color w:val="000000"/>
          <w:kern w:val="0"/>
          <w:sz w:val="28"/>
          <w:szCs w:val="28"/>
        </w:rPr>
        <w:instrText xml:space="preserve">= 1 \* GB3</w:instrText>
      </w:r>
      <w:r>
        <w:rPr>
          <w:rFonts w:ascii="仿宋" w:hAnsi="仿宋" w:eastAsia="仿宋"/>
          <w:color w:val="000000"/>
          <w:kern w:val="0"/>
          <w:sz w:val="28"/>
          <w:szCs w:val="28"/>
        </w:rPr>
        <w:instrText xml:space="preserve"> </w:instrText>
      </w:r>
      <w:r>
        <w:rPr>
          <w:rFonts w:ascii="仿宋" w:hAnsi="仿宋" w:eastAsia="仿宋"/>
          <w:color w:val="000000"/>
          <w:kern w:val="0"/>
          <w:sz w:val="28"/>
          <w:szCs w:val="28"/>
        </w:rPr>
        <w:fldChar w:fldCharType="separate"/>
      </w:r>
      <w:r>
        <w:rPr>
          <w:rFonts w:hint="eastAsia" w:ascii="仿宋" w:hAnsi="仿宋" w:eastAsia="仿宋"/>
          <w:color w:val="000000"/>
          <w:kern w:val="0"/>
          <w:sz w:val="28"/>
          <w:szCs w:val="28"/>
        </w:rPr>
        <w:t>①</w:t>
      </w:r>
      <w:r>
        <w:rPr>
          <w:rFonts w:ascii="仿宋" w:hAnsi="仿宋" w:eastAsia="仿宋"/>
          <w:color w:val="000000"/>
          <w:kern w:val="0"/>
          <w:sz w:val="28"/>
          <w:szCs w:val="28"/>
        </w:rPr>
        <w:fldChar w:fldCharType="end"/>
      </w:r>
      <w:r>
        <w:rPr>
          <w:rFonts w:hint="eastAsia" w:ascii="仿宋" w:hAnsi="仿宋" w:eastAsia="仿宋"/>
          <w:color w:val="000000"/>
          <w:kern w:val="0"/>
          <w:sz w:val="28"/>
          <w:szCs w:val="28"/>
        </w:rPr>
        <w:t>项目决策。主要是对项目立项、绩效目标、资金投入进行评价，包括立项依据充分性、立项程序规范性、绩效目标合理性、绩效指标明确性、预算编制科学性、资金分配合理性等。</w:t>
      </w:r>
    </w:p>
    <w:p>
      <w:pPr>
        <w:spacing w:line="360" w:lineRule="auto"/>
        <w:ind w:firstLine="560" w:firstLineChars="200"/>
        <w:rPr>
          <w:rFonts w:ascii="仿宋" w:hAnsi="仿宋" w:eastAsia="仿宋"/>
          <w:color w:val="000000"/>
          <w:kern w:val="0"/>
          <w:sz w:val="28"/>
          <w:szCs w:val="28"/>
        </w:rPr>
      </w:pPr>
      <w:r>
        <w:rPr>
          <w:rFonts w:ascii="仿宋" w:hAnsi="仿宋" w:eastAsia="仿宋"/>
          <w:color w:val="000000"/>
          <w:kern w:val="0"/>
          <w:sz w:val="28"/>
          <w:szCs w:val="28"/>
        </w:rPr>
        <w:fldChar w:fldCharType="begin"/>
      </w:r>
      <w:r>
        <w:rPr>
          <w:rFonts w:ascii="仿宋" w:hAnsi="仿宋" w:eastAsia="仿宋"/>
          <w:color w:val="000000"/>
          <w:kern w:val="0"/>
          <w:sz w:val="28"/>
          <w:szCs w:val="28"/>
        </w:rPr>
        <w:instrText xml:space="preserve"> </w:instrText>
      </w:r>
      <w:r>
        <w:rPr>
          <w:rFonts w:hint="eastAsia" w:ascii="仿宋" w:hAnsi="仿宋" w:eastAsia="仿宋"/>
          <w:color w:val="000000"/>
          <w:kern w:val="0"/>
          <w:sz w:val="28"/>
          <w:szCs w:val="28"/>
        </w:rPr>
        <w:instrText xml:space="preserve">= 2 \* GB3</w:instrText>
      </w:r>
      <w:r>
        <w:rPr>
          <w:rFonts w:ascii="仿宋" w:hAnsi="仿宋" w:eastAsia="仿宋"/>
          <w:color w:val="000000"/>
          <w:kern w:val="0"/>
          <w:sz w:val="28"/>
          <w:szCs w:val="28"/>
        </w:rPr>
        <w:instrText xml:space="preserve"> </w:instrText>
      </w:r>
      <w:r>
        <w:rPr>
          <w:rFonts w:ascii="仿宋" w:hAnsi="仿宋" w:eastAsia="仿宋"/>
          <w:color w:val="000000"/>
          <w:kern w:val="0"/>
          <w:sz w:val="28"/>
          <w:szCs w:val="28"/>
        </w:rPr>
        <w:fldChar w:fldCharType="separate"/>
      </w:r>
      <w:r>
        <w:rPr>
          <w:rFonts w:hint="eastAsia" w:ascii="仿宋" w:hAnsi="仿宋" w:eastAsia="仿宋"/>
          <w:color w:val="000000"/>
          <w:kern w:val="0"/>
          <w:sz w:val="28"/>
          <w:szCs w:val="28"/>
        </w:rPr>
        <w:t>②</w:t>
      </w:r>
      <w:r>
        <w:rPr>
          <w:rFonts w:ascii="仿宋" w:hAnsi="仿宋" w:eastAsia="仿宋"/>
          <w:color w:val="000000"/>
          <w:kern w:val="0"/>
          <w:sz w:val="28"/>
          <w:szCs w:val="28"/>
        </w:rPr>
        <w:fldChar w:fldCharType="end"/>
      </w:r>
      <w:r>
        <w:rPr>
          <w:rFonts w:hint="eastAsia" w:ascii="仿宋" w:hAnsi="仿宋" w:eastAsia="仿宋"/>
          <w:color w:val="000000"/>
          <w:kern w:val="0"/>
          <w:sz w:val="28"/>
          <w:szCs w:val="28"/>
        </w:rPr>
        <w:t>项目管理。主要是对项目资金管理及组织实施过程进行评价，包括资金到位、预算执行、资金使用合规性及管理制度建全性和执行的有效性等。</w:t>
      </w:r>
    </w:p>
    <w:p>
      <w:pPr>
        <w:spacing w:line="360" w:lineRule="auto"/>
        <w:ind w:firstLine="560" w:firstLineChars="200"/>
        <w:rPr>
          <w:rFonts w:ascii="仿宋" w:hAnsi="仿宋" w:eastAsia="仿宋"/>
          <w:color w:val="000000"/>
          <w:kern w:val="0"/>
          <w:sz w:val="28"/>
          <w:szCs w:val="28"/>
        </w:rPr>
      </w:pPr>
      <w:r>
        <w:rPr>
          <w:rFonts w:ascii="仿宋" w:hAnsi="仿宋" w:eastAsia="仿宋"/>
          <w:color w:val="000000"/>
          <w:kern w:val="0"/>
          <w:sz w:val="28"/>
          <w:szCs w:val="28"/>
        </w:rPr>
        <w:fldChar w:fldCharType="begin"/>
      </w:r>
      <w:r>
        <w:rPr>
          <w:rFonts w:ascii="仿宋" w:hAnsi="仿宋" w:eastAsia="仿宋"/>
          <w:color w:val="000000"/>
          <w:kern w:val="0"/>
          <w:sz w:val="28"/>
          <w:szCs w:val="28"/>
        </w:rPr>
        <w:instrText xml:space="preserve"> </w:instrText>
      </w:r>
      <w:r>
        <w:rPr>
          <w:rFonts w:hint="eastAsia" w:ascii="仿宋" w:hAnsi="仿宋" w:eastAsia="仿宋"/>
          <w:color w:val="000000"/>
          <w:kern w:val="0"/>
          <w:sz w:val="28"/>
          <w:szCs w:val="28"/>
        </w:rPr>
        <w:instrText xml:space="preserve">= 3 \* GB3</w:instrText>
      </w:r>
      <w:r>
        <w:rPr>
          <w:rFonts w:ascii="仿宋" w:hAnsi="仿宋" w:eastAsia="仿宋"/>
          <w:color w:val="000000"/>
          <w:kern w:val="0"/>
          <w:sz w:val="28"/>
          <w:szCs w:val="28"/>
        </w:rPr>
        <w:instrText xml:space="preserve"> </w:instrText>
      </w:r>
      <w:r>
        <w:rPr>
          <w:rFonts w:ascii="仿宋" w:hAnsi="仿宋" w:eastAsia="仿宋"/>
          <w:color w:val="000000"/>
          <w:kern w:val="0"/>
          <w:sz w:val="28"/>
          <w:szCs w:val="28"/>
        </w:rPr>
        <w:fldChar w:fldCharType="separate"/>
      </w:r>
      <w:r>
        <w:rPr>
          <w:rFonts w:hint="eastAsia" w:ascii="仿宋" w:hAnsi="仿宋" w:eastAsia="仿宋"/>
          <w:color w:val="000000"/>
          <w:kern w:val="0"/>
          <w:sz w:val="28"/>
          <w:szCs w:val="28"/>
        </w:rPr>
        <w:t>③</w:t>
      </w:r>
      <w:r>
        <w:rPr>
          <w:rFonts w:ascii="仿宋" w:hAnsi="仿宋" w:eastAsia="仿宋"/>
          <w:color w:val="000000"/>
          <w:kern w:val="0"/>
          <w:sz w:val="28"/>
          <w:szCs w:val="28"/>
        </w:rPr>
        <w:fldChar w:fldCharType="end"/>
      </w:r>
      <w:r>
        <w:rPr>
          <w:rFonts w:hint="eastAsia" w:ascii="仿宋" w:hAnsi="仿宋" w:eastAsia="仿宋"/>
          <w:color w:val="000000"/>
          <w:kern w:val="0"/>
          <w:sz w:val="28"/>
          <w:szCs w:val="28"/>
        </w:rPr>
        <w:t>项目绩效。主要是对项目产出、效果及满意度进行评价，包括项目产出数量、产出质量、产出时效、产出成本是否与目标一致；项目实施产生的经济效益、社会效益、可持续影响和服务对象满意度是否达到目标。</w:t>
      </w:r>
    </w:p>
    <w:p>
      <w:pPr>
        <w:pStyle w:val="3"/>
        <w:spacing w:before="0" w:after="0" w:line="360" w:lineRule="auto"/>
        <w:ind w:firstLine="562" w:firstLineChars="200"/>
        <w:rPr>
          <w:rFonts w:ascii="仿宋" w:hAnsi="仿宋" w:eastAsia="仿宋"/>
          <w:kern w:val="0"/>
          <w:sz w:val="28"/>
          <w:szCs w:val="28"/>
        </w:rPr>
      </w:pPr>
      <w:bookmarkStart w:id="5" w:name="_Toc72315868"/>
      <w:r>
        <w:rPr>
          <w:rFonts w:hint="eastAsia" w:ascii="仿宋" w:hAnsi="仿宋" w:eastAsia="仿宋"/>
          <w:kern w:val="0"/>
          <w:sz w:val="28"/>
          <w:szCs w:val="28"/>
        </w:rPr>
        <w:t>（二）绩效评价原则、评价指标体系（附表说明）、评价方法、评价标准等</w:t>
      </w:r>
      <w:bookmarkEnd w:id="5"/>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1.绩效评价原则</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本次绩效评价工作遵循“科学公正、统筹兼顾、激励约束、公开透明”原则。</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（1）科学公正。绩效评价应当运用科学合理的方法，按照规范的程序，对项目绩效进行客观、公正的反映。</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统筹兼顾。单位自评、部门评价和财政评价应职责明确，各有侧重，相互衔接。单位自评应由项目单位自主实施,即“谁支出,谁自评”。部门评价和财政评价应在单位自评的基础上开展，必要时可委托第三方机构实施。</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（3）激励约束。绩效评价结果应用与预算安排、政策调整、改进管理实质性挂钩，体现奖优罚劣和激励相容导向，有效要安排、低效要减压、无效要问责。</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（4）公开透明。绩效评价结果应依法依规公开，并自觉接受社会监督。</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2.绩效评价指标体系（附表说明）</w:t>
      </w:r>
    </w:p>
    <w:p>
      <w:pPr>
        <w:spacing w:line="360" w:lineRule="auto"/>
        <w:ind w:firstLine="560" w:firstLineChars="200"/>
        <w:rPr>
          <w:rFonts w:ascii="仿宋" w:hAnsi="仿宋" w:eastAsia="仿宋"/>
          <w:color w:val="000000"/>
          <w:kern w:val="0"/>
          <w:sz w:val="28"/>
          <w:szCs w:val="28"/>
        </w:rPr>
        <w:sectPr>
          <w:footerReference r:id="rId6" w:type="default"/>
          <w:pgSz w:w="11906" w:h="16838"/>
          <w:pgMar w:top="1440" w:right="1800" w:bottom="1440" w:left="1800" w:header="851" w:footer="992" w:gutter="0"/>
          <w:pgNumType w:start="1"/>
          <w:cols w:space="425" w:num="1"/>
          <w:docGrid w:type="lines" w:linePitch="312" w:charSpace="0"/>
        </w:sectPr>
      </w:pPr>
      <w:r>
        <w:rPr>
          <w:rFonts w:hint="eastAsia" w:ascii="仿宋" w:hAnsi="仿宋" w:eastAsia="仿宋"/>
          <w:color w:val="000000"/>
          <w:kern w:val="0"/>
          <w:sz w:val="28"/>
          <w:szCs w:val="28"/>
        </w:rPr>
        <w:t>评价工作组根据《北京市项目支出绩效评价管理办法》（京财绩效〔2020〕2146号），结合评价对象特点及具体实施情况，围绕项目决策、项目管理及项目绩效，制定了本项目绩效评价指标体系和指标权重，依据突出结果导向原则，</w:t>
      </w:r>
      <w:r>
        <w:rPr>
          <w:rFonts w:ascii="仿宋" w:hAnsi="仿宋" w:eastAsia="仿宋"/>
          <w:color w:val="000000"/>
          <w:kern w:val="0"/>
          <w:sz w:val="28"/>
          <w:szCs w:val="28"/>
        </w:rPr>
        <w:t>项目决策权重占1</w:t>
      </w:r>
      <w:r>
        <w:rPr>
          <w:rFonts w:hint="eastAsia" w:ascii="仿宋" w:hAnsi="仿宋" w:eastAsia="仿宋"/>
          <w:color w:val="000000"/>
          <w:kern w:val="0"/>
          <w:sz w:val="28"/>
          <w:szCs w:val="28"/>
        </w:rPr>
        <w:t>5</w:t>
      </w:r>
      <w:r>
        <w:rPr>
          <w:rFonts w:ascii="仿宋" w:hAnsi="仿宋" w:eastAsia="仿宋"/>
          <w:color w:val="000000"/>
          <w:kern w:val="0"/>
          <w:sz w:val="28"/>
          <w:szCs w:val="28"/>
        </w:rPr>
        <w:t>%，项目管理权重占2</w:t>
      </w:r>
      <w:r>
        <w:rPr>
          <w:rFonts w:hint="eastAsia" w:ascii="仿宋" w:hAnsi="仿宋" w:eastAsia="仿宋"/>
          <w:color w:val="000000"/>
          <w:kern w:val="0"/>
          <w:sz w:val="28"/>
          <w:szCs w:val="28"/>
        </w:rPr>
        <w:t>5</w:t>
      </w:r>
      <w:r>
        <w:rPr>
          <w:rFonts w:ascii="仿宋" w:hAnsi="仿宋" w:eastAsia="仿宋"/>
          <w:color w:val="000000"/>
          <w:kern w:val="0"/>
          <w:sz w:val="28"/>
          <w:szCs w:val="28"/>
        </w:rPr>
        <w:t>%，项目产出权重占</w:t>
      </w:r>
      <w:r>
        <w:rPr>
          <w:rFonts w:hint="eastAsia" w:ascii="仿宋" w:hAnsi="仿宋" w:eastAsia="仿宋"/>
          <w:color w:val="000000"/>
          <w:kern w:val="0"/>
          <w:sz w:val="28"/>
          <w:szCs w:val="28"/>
        </w:rPr>
        <w:t>3</w:t>
      </w:r>
      <w:r>
        <w:rPr>
          <w:rFonts w:ascii="仿宋" w:hAnsi="仿宋" w:eastAsia="仿宋"/>
          <w:color w:val="000000"/>
          <w:kern w:val="0"/>
          <w:sz w:val="28"/>
          <w:szCs w:val="28"/>
        </w:rPr>
        <w:t>0%，项目效益权重占30%</w:t>
      </w:r>
      <w:r>
        <w:rPr>
          <w:rFonts w:hint="eastAsia" w:ascii="仿宋" w:hAnsi="仿宋" w:eastAsia="仿宋"/>
          <w:color w:val="000000"/>
          <w:kern w:val="0"/>
          <w:sz w:val="28"/>
          <w:szCs w:val="28"/>
        </w:rPr>
        <w:t>。在咨询专家组意见后，确定为该项目最终绩效评价指标体系。</w:t>
      </w:r>
    </w:p>
    <w:tbl>
      <w:tblPr>
        <w:tblStyle w:val="11"/>
        <w:tblW w:w="14616"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4"/>
        <w:gridCol w:w="851"/>
        <w:gridCol w:w="1134"/>
        <w:gridCol w:w="1701"/>
        <w:gridCol w:w="708"/>
        <w:gridCol w:w="1276"/>
        <w:gridCol w:w="1134"/>
        <w:gridCol w:w="70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trPr>
        <w:tc>
          <w:tcPr>
            <w:tcW w:w="724" w:type="dxa"/>
            <w:vMerge w:val="restart"/>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一级</w:t>
            </w:r>
          </w:p>
        </w:tc>
        <w:tc>
          <w:tcPr>
            <w:tcW w:w="851" w:type="dxa"/>
            <w:vMerge w:val="restart"/>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二级</w:t>
            </w:r>
          </w:p>
        </w:tc>
        <w:tc>
          <w:tcPr>
            <w:tcW w:w="1134" w:type="dxa"/>
            <w:vMerge w:val="restart"/>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三级</w:t>
            </w:r>
          </w:p>
        </w:tc>
        <w:tc>
          <w:tcPr>
            <w:tcW w:w="1701" w:type="dxa"/>
            <w:vMerge w:val="restart"/>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四级</w:t>
            </w:r>
          </w:p>
        </w:tc>
        <w:tc>
          <w:tcPr>
            <w:tcW w:w="708" w:type="dxa"/>
            <w:vMerge w:val="restart"/>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分值</w:t>
            </w:r>
          </w:p>
        </w:tc>
        <w:tc>
          <w:tcPr>
            <w:tcW w:w="9498" w:type="dxa"/>
            <w:gridSpan w:val="3"/>
            <w:shd w:val="clear" w:color="auto" w:fill="auto"/>
            <w:noWrap/>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评分规则及评分标准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trPr>
        <w:tc>
          <w:tcPr>
            <w:tcW w:w="724" w:type="dxa"/>
            <w:vMerge w:val="continue"/>
            <w:vAlign w:val="center"/>
          </w:tcPr>
          <w:p>
            <w:pPr>
              <w:widowControl/>
              <w:jc w:val="left"/>
              <w:rPr>
                <w:rFonts w:ascii="宋体" w:hAnsi="宋体" w:cs="宋体"/>
                <w:b/>
                <w:bCs/>
                <w:color w:val="000000"/>
                <w:kern w:val="0"/>
                <w:sz w:val="16"/>
                <w:szCs w:val="16"/>
              </w:rPr>
            </w:pPr>
          </w:p>
        </w:tc>
        <w:tc>
          <w:tcPr>
            <w:tcW w:w="851" w:type="dxa"/>
            <w:vMerge w:val="continue"/>
            <w:vAlign w:val="center"/>
          </w:tcPr>
          <w:p>
            <w:pPr>
              <w:widowControl/>
              <w:jc w:val="left"/>
              <w:rPr>
                <w:rFonts w:ascii="宋体" w:hAnsi="宋体" w:cs="宋体"/>
                <w:b/>
                <w:bCs/>
                <w:color w:val="000000"/>
                <w:kern w:val="0"/>
                <w:sz w:val="16"/>
                <w:szCs w:val="16"/>
              </w:rPr>
            </w:pPr>
          </w:p>
        </w:tc>
        <w:tc>
          <w:tcPr>
            <w:tcW w:w="1134" w:type="dxa"/>
            <w:vMerge w:val="continue"/>
            <w:vAlign w:val="center"/>
          </w:tcPr>
          <w:p>
            <w:pPr>
              <w:widowControl/>
              <w:jc w:val="left"/>
              <w:rPr>
                <w:rFonts w:ascii="宋体" w:hAnsi="宋体" w:cs="宋体"/>
                <w:b/>
                <w:bCs/>
                <w:color w:val="000000"/>
                <w:kern w:val="0"/>
                <w:sz w:val="16"/>
                <w:szCs w:val="16"/>
              </w:rPr>
            </w:pPr>
          </w:p>
        </w:tc>
        <w:tc>
          <w:tcPr>
            <w:tcW w:w="1701" w:type="dxa"/>
            <w:vMerge w:val="continue"/>
            <w:vAlign w:val="center"/>
          </w:tcPr>
          <w:p>
            <w:pPr>
              <w:widowControl/>
              <w:jc w:val="left"/>
              <w:rPr>
                <w:rFonts w:ascii="宋体" w:hAnsi="宋体" w:cs="宋体"/>
                <w:b/>
                <w:bCs/>
                <w:color w:val="000000"/>
                <w:kern w:val="0"/>
                <w:sz w:val="16"/>
                <w:szCs w:val="16"/>
              </w:rPr>
            </w:pPr>
          </w:p>
        </w:tc>
        <w:tc>
          <w:tcPr>
            <w:tcW w:w="708" w:type="dxa"/>
            <w:vMerge w:val="continue"/>
            <w:vAlign w:val="center"/>
          </w:tcPr>
          <w:p>
            <w:pPr>
              <w:widowControl/>
              <w:jc w:val="left"/>
              <w:rPr>
                <w:rFonts w:ascii="宋体" w:hAnsi="宋体" w:cs="宋体"/>
                <w:b/>
                <w:bCs/>
                <w:color w:val="000000"/>
                <w:kern w:val="0"/>
                <w:sz w:val="16"/>
                <w:szCs w:val="16"/>
              </w:rPr>
            </w:pPr>
          </w:p>
        </w:tc>
        <w:tc>
          <w:tcPr>
            <w:tcW w:w="1276" w:type="dxa"/>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评分规则</w:t>
            </w:r>
          </w:p>
        </w:tc>
        <w:tc>
          <w:tcPr>
            <w:tcW w:w="1134" w:type="dxa"/>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分值</w:t>
            </w:r>
          </w:p>
        </w:tc>
        <w:tc>
          <w:tcPr>
            <w:tcW w:w="7088" w:type="dxa"/>
            <w:shd w:val="clear" w:color="auto" w:fill="auto"/>
            <w:vAlign w:val="center"/>
          </w:tcPr>
          <w:p>
            <w:pPr>
              <w:widowControl/>
              <w:jc w:val="center"/>
              <w:rPr>
                <w:rFonts w:ascii="宋体" w:hAnsi="宋体" w:cs="宋体"/>
                <w:b/>
                <w:bCs/>
                <w:color w:val="000000"/>
                <w:kern w:val="0"/>
                <w:sz w:val="16"/>
                <w:szCs w:val="16"/>
              </w:rPr>
            </w:pPr>
            <w:r>
              <w:rPr>
                <w:rFonts w:hint="eastAsia" w:ascii="宋体" w:hAnsi="宋体" w:cs="宋体"/>
                <w:b/>
                <w:bCs/>
                <w:color w:val="000000"/>
                <w:kern w:val="0"/>
                <w:sz w:val="16"/>
                <w:szCs w:val="16"/>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项目决策（15分）</w:t>
            </w: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项目立项（5分）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立项依据充分性（3分）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项目与项目单位部门职能的相符性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0.9-1.0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A.该项目本身与项目单位部门职能完全相符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0.7-0.9</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B.该项目本身与项目单位职能较相符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C.该项目本身与项目单位职能基本相符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0-0.6</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D.该项目本身与项目单位职能不相符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项目与相关政策、规划相符性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A.项目与相关政策要求、单位长期事业发展规划及年度工作计划完全相符，前瞻性和可实施性强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B.项目与相关政策要求、单位长期事业发展规划及年度工作计划较相符，前瞻性和可实施性较强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C.项目与相关政策要求、单位长期事业发展规划及年度工作计划基本相符，可实施性较差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不相符</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D.项目与相关政策要求、单位长期事业发展规划及年度工作计划不符，可实施性差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立项程规范性（2分）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项目立项论证的充分性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 xml:space="preserve">充分 </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0.9-1.0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A.项目开展了前期调研或可行性研究，对项目实施背景、现状、需求、风险了解充分，对项目的可行性进行了充分论证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较充分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0.7-0.9</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B.项目开展了前期调研或可行性研究，对项目实施背景、现状、需求、风险了解比较深入，对项目的可行性论证比较充分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不充分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C.项目立项前，对项目实施背景、现状、需求、风险进行了一定程度的了解，对项目的可行性进行了简单的分析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无</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0-0.6</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D.未开展前期调研或可行性研究，对项目实施背景、现状、需求、风险缺乏了解，未进行项目可行性分析、论证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项目立项决策程序的规范性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合规</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0.9-1.0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A.完全履行了相关必要的申请、批复审批程序，且完全合规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较合规</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0.7-0.9</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B.履行了相关必要的申请、批复审批程序，且较合规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基本合规</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C.履行了基本的申请、批复审批程序，且基本合规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不合规</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0-0.6</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D.未履行必要的申请、批复审批程序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绩效目标（5分）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目标内容（5分）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绩效目标合理性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A.立项目标全面、客观、严谨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B.立项目标比较全面、客观、严谨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C.立项目标基本全面、客观、严谨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D.立项目标不够全面、不客观、不严谨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绩效指标明确性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明确</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2.7-3.0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A.立项目标明确、细化、量化，可准确衡量和评价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较明确</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2.25-2.7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B.立项目标较为明确、细化、量化，能够衡量和评价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基本明确</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1.8-2.25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C.存在个别绩效指标不够具体细化、难以衡量和评价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不明确</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D.目标不够清晰、不够具体、量化，无法衡量和评价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资金投入（5分）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预算编制、资金分配（5分）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预算编制科学性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A.项目预算与业务内容完全匹配，预算标准适当，计算方法科学，项目预算细化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B.项目预算与业务内容比较匹配，预算标准较适当和计算方法较科学，项目预算较细化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C.项目预算与业务内容基本匹配，预算标准基本适当和计算方法基本正确，项目预算细化不充分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低</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D.项目预算与业务内容不匹配，缺少预算标准和明确的计算方法，项目预算不细化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资金分配合理性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2.7-3.0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A.预算资金分配依据充分，资金分配额度合理，与项目单位实际相适应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2.25-2.7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B.预算资金分配依据较充分，资金分配额度较合理，与项目单位实际比较适应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1.8-2.25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C.预算资金分配依据基本充分，资金分配额度基本合理，与项目单位实际基本相适应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D.预算资金分配依据不充分，资金分配额度不合理，与项目单位实际不适应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项目管理过程（25分）</w:t>
            </w: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项目资金（10分）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资金管理（10分）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资金到位率</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到位</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A.资金到位率90%以上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较到位</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B.资金到位率75%-90%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基本到位</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C.资金到位率60%-75%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不到位</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D.资金到位率60%以下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预算执行率</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一致</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3.5-4.0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A.预算执行与预算规划及批复相符，符合相关项目资金管理制度规定，支出进度与预期一致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较一致</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2.95-3.5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B.预算执行与预算规划及批复较相符，支出进度较为合理，不存在虚列支出、支出依据不充分等情况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基本一致</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2.4-2.95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C.预算执行与预算规划及批复基本相符，支出进度基本合理，存在个别虚列支出、支出依据不充分情况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不一致</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0-2.4</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D.预算执行与预算规划及批复不符，支出进度不合理，存在虚列支出、支出依据不充分等情况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资金使用合理性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3.5-4.0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A.严格执行有关财务管理制度，财务运行协调；资产管理制度执行很好，项目资金使用高效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2.95-3.5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B.较好地执行有关财务管理制度，财务运行较协调；资产管理制度执行较好，项目资金使用较高效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2.4-2.95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C.基本上执行了有关财务(资产)管理制度，存在个别未执行情况，项目资金使用效率一般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不合理</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0-2.4</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D.未执行有关财务(资产)管理制度，财务运行不协调,项目资金使用低效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项组织实施（15分）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管理制度健全性（3）</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财务管理制度的健全性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0.9-1.0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A.项目单位建立起十分健全、有很强针对性的项目财务、业务管理制度，足以保证项目的顺利实施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0.7-0.9</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B.项目单位建立健全了项目财务、业务管理制度，有一定的针对性，能较好地保证项目的顺利实施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0.6-0.7</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C.项目单位基本上建立了项目财务、业务管理制度，一定程度上有助于项目的开展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0-0.6</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D.项目单位未建立项目财务、业务管理制度或项目管理制度缺乏针对性，无法保证项目的顺利实施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业务管理制度的健全性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A.项目单位建立起十分健全、有很强针对性的业务管理制度，足以保证项目的顺利实施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B.项目单位建立健全了业务管理制度，有一定的针对性，能较好地保证项目的顺利实施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C.项目单位基本上建立了业务管理制度，一定程度上有助于项目的开展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不完备</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D.项目单位未建立业务管理制度或项目管理制度缺乏针对性，无法保证项目的顺利实施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制度执行有效性（12分）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项目执行与实施方案、计划的吻合度</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吻合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3.5-4.0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A.项目实施方案完备，可行性强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较吻合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2.95-3.5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B.项目实施方案较完备，可行性较强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基本吻合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2.4-2.95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C.项目实施方案基本完备，有一定的可行性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不吻合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0-2.4</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D.项目无实施方案或实施方案不完备，缺乏可行性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项目调整的规范性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非常规范</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A.目标及预算等不存在重大调整情况，或者存在重大调整情况时履行了相应手续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规范</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B.目标及预算等存在重大调整情况，个别重大调整情况履行手续欠规范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C.目标及预算等存在重大调整情况，重大调整未履行相应手续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不规范</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D.目标及预算等存在重大调整情况，且完全未履行相应手续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项目执行的有效性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有效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3.5-4.0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A.项目实施遵守相关法律法规和项目管理制度，执行有效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较有效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2.95-3.5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B.项目实施较好的遵守了相关法律法规和项目管理制度，执行较有效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2.4-2.95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C.项目实施基本上遵守了相关法律法规和项目管理制度，执行基本有效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无效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0-2.4</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D.项目实施未遵守相关法律法规和项目管理制度，执行无效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项目执行资料完整性、归档及时性</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2</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完整、及时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1.8-2.0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A.项目合同书、验收报告、技术鉴定等资料齐全、归档及时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较完整、较及时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1.5-1.8</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B.项目合同书、验收报告、技术鉴定等资料较齐全、归档较及时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1.2-1.5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C.项目合同书、验收报告、技术鉴定等资料基本齐全、归档但不及时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不完整、不及时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0-1.2</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D.项目合同书、验收报告、技术鉴定等资料不齐全、未归档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项目产出（30分）</w:t>
            </w: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产出内容（30分）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产出数量（10分）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实际完成率（年初数量指标：北京市商务楼宇信息监测系统一套包括7个子系统）</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10</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9.0-10.0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A.实际产出数与计划产出数比率90%-100%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7.5-9.0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B.实际产出数与计划产出数比率80%-90%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6.0-7.5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C.实际产出数与计划产出数比率60%-80%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D.实际产出数与计划产出数比率60%以下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产出质量（10分）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质量达标率（年初质量指标：验收通过率100%；系统支持1年365天不间断运行，系统无重大故障，应用开发软件问题单次修复时间不超过24小时）。</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10</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9.0-10.0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A.质量达标率90%-100%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7.5-9.0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B.质量达标率80%-90%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6.0-7.5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C.质量达标率60%-80%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不高</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D.质量达标率60%以下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产出时效（5分）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完成的及时性（项目建设工期为合同签订之日起9个月内，试运行至少1个月，正式运行2个月，2021年3月底前完成验收工作）</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5</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4.5-5.0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A.项目实施进度非常及时，完全符合目标和方案要求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3.75-4.5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B.项目实施进度较及时，接近目标和方案要求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3.0-3.75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C.项目实施进度基本及时，基本符合目标和方案要求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不及时</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D.项目实施进度不及时，与目标和方案差距较大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产出成本（5分）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成本控制程度（687万元）</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5</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符合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4.5-5.0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A.项目支出与实施方案中设定的标准、项目预算金额相符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较符合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3.75-4.5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B.项目支出与实施方案中设定的标准、项目预算金额比较相符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基本符合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3.0-3.75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C.项目支出与实施方案中设定的标准、项目预算金额基本相符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不符合</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D.项目支出与实施方案中设定的标准、项目预算金额不符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项目效益（30分）</w:t>
            </w: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项目效果（25分）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社会效益</w:t>
            </w:r>
            <w:r>
              <w:rPr>
                <w:rFonts w:hint="eastAsia" w:ascii="宋体" w:hAnsi="宋体" w:cs="宋体"/>
                <w:kern w:val="0"/>
                <w:sz w:val="16"/>
                <w:szCs w:val="16"/>
              </w:rPr>
              <w:br w:type="textWrapping"/>
            </w:r>
            <w:r>
              <w:rPr>
                <w:rFonts w:hint="eastAsia" w:ascii="宋体" w:hAnsi="宋体" w:cs="宋体"/>
                <w:kern w:val="0"/>
                <w:sz w:val="16"/>
                <w:szCs w:val="16"/>
              </w:rPr>
              <w:t>（15分）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商务楼宇信息监测管理水平得到提升，商务楼宇信息监测系统功能更加完善</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15</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显著</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13.0-15.0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A.项目在商务楼宇信息监测管理水平得到提升，商务楼宇信息监测系统功能更加完善方面的作用显著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较显著</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11.0-13.0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B.项目在商务楼宇信息监测管理水平得到提升，商务楼宇信息监测系统功能更加完善方面的作用较显著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9.0-11.0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C.项目在商务楼宇信息监测管理水平得到提升，商务楼宇信息监测系统功能更加完善方面的作用一般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不明显</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0-9.0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D.项目在商务楼宇信息监测管理水平得到提升，商务楼宇信息监测系统功能更加完善方面的作用不明显或没有作用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可持续影响（10分）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为楼宇经济分析决策提供有力支撑，为社会共治楼宇经济提供有力平台</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10</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显著</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9.0-10.0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A.对提供楼宇经济决策分析、共治社会楼宇经济平台方面影响显著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较显著</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7.5-9.0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B.对提供楼宇经济决策分析、共治社会楼宇经济平台方面影响较显著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6.0-7.5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C.对提供楼宇经济决策分析、共治社会楼宇经济平台方面影响一般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不明显</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0-6.0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D.对提供楼宇经济决策分析、共治社会楼宇经济平台方面影响不明显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服务对象满意度指标（5分）</w:t>
            </w:r>
          </w:p>
        </w:tc>
        <w:tc>
          <w:tcPr>
            <w:tcW w:w="1134"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内部使用人员满意度</w:t>
            </w:r>
            <w:r>
              <w:rPr>
                <w:rFonts w:hint="eastAsia" w:ascii="宋体" w:hAnsi="宋体" w:cs="宋体"/>
                <w:kern w:val="0"/>
                <w:sz w:val="16"/>
                <w:szCs w:val="16"/>
              </w:rPr>
              <w:br w:type="textWrapping"/>
            </w:r>
            <w:r>
              <w:rPr>
                <w:rFonts w:hint="eastAsia" w:ascii="宋体" w:hAnsi="宋体" w:cs="宋体"/>
                <w:kern w:val="0"/>
                <w:sz w:val="16"/>
                <w:szCs w:val="16"/>
              </w:rPr>
              <w:t>（5分）</w:t>
            </w:r>
          </w:p>
        </w:tc>
        <w:tc>
          <w:tcPr>
            <w:tcW w:w="1701"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满意度指标≥90%</w:t>
            </w:r>
          </w:p>
        </w:tc>
        <w:tc>
          <w:tcPr>
            <w:tcW w:w="708" w:type="dxa"/>
            <w:vMerge w:val="restart"/>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5</w:t>
            </w: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满意</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4.5-5.0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A.内部使用人员对信息监测系统升级改造满意度高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较满意</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3.75-4.5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B.内部使用人员对信息监测系统升级改造满意度较高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一般</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3.0-3.75</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C.内部使用人员对信息监测系统升级改造满意度一般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724" w:type="dxa"/>
            <w:vMerge w:val="continue"/>
            <w:vAlign w:val="center"/>
          </w:tcPr>
          <w:p>
            <w:pPr>
              <w:widowControl/>
              <w:jc w:val="left"/>
              <w:rPr>
                <w:rFonts w:ascii="宋体" w:hAnsi="宋体" w:cs="宋体"/>
                <w:kern w:val="0"/>
                <w:sz w:val="16"/>
                <w:szCs w:val="16"/>
              </w:rPr>
            </w:pPr>
          </w:p>
        </w:tc>
        <w:tc>
          <w:tcPr>
            <w:tcW w:w="851" w:type="dxa"/>
            <w:vMerge w:val="continue"/>
            <w:vAlign w:val="center"/>
          </w:tcPr>
          <w:p>
            <w:pPr>
              <w:widowControl/>
              <w:jc w:val="left"/>
              <w:rPr>
                <w:rFonts w:ascii="宋体" w:hAnsi="宋体" w:cs="宋体"/>
                <w:kern w:val="0"/>
                <w:sz w:val="16"/>
                <w:szCs w:val="16"/>
              </w:rPr>
            </w:pPr>
          </w:p>
        </w:tc>
        <w:tc>
          <w:tcPr>
            <w:tcW w:w="1134" w:type="dxa"/>
            <w:vMerge w:val="continue"/>
            <w:vAlign w:val="center"/>
          </w:tcPr>
          <w:p>
            <w:pPr>
              <w:widowControl/>
              <w:jc w:val="left"/>
              <w:rPr>
                <w:rFonts w:ascii="宋体" w:hAnsi="宋体" w:cs="宋体"/>
                <w:kern w:val="0"/>
                <w:sz w:val="16"/>
                <w:szCs w:val="16"/>
              </w:rPr>
            </w:pPr>
          </w:p>
        </w:tc>
        <w:tc>
          <w:tcPr>
            <w:tcW w:w="1701" w:type="dxa"/>
            <w:vMerge w:val="continue"/>
            <w:vAlign w:val="center"/>
          </w:tcPr>
          <w:p>
            <w:pPr>
              <w:widowControl/>
              <w:jc w:val="left"/>
              <w:rPr>
                <w:rFonts w:ascii="宋体" w:hAnsi="宋体" w:cs="宋体"/>
                <w:kern w:val="0"/>
                <w:sz w:val="16"/>
                <w:szCs w:val="16"/>
              </w:rPr>
            </w:pPr>
          </w:p>
        </w:tc>
        <w:tc>
          <w:tcPr>
            <w:tcW w:w="708" w:type="dxa"/>
            <w:vMerge w:val="continue"/>
            <w:vAlign w:val="center"/>
          </w:tcPr>
          <w:p>
            <w:pPr>
              <w:widowControl/>
              <w:jc w:val="left"/>
              <w:rPr>
                <w:rFonts w:ascii="宋体" w:hAnsi="宋体" w:cs="宋体"/>
                <w:kern w:val="0"/>
                <w:sz w:val="16"/>
                <w:szCs w:val="16"/>
              </w:rPr>
            </w:pPr>
          </w:p>
        </w:tc>
        <w:tc>
          <w:tcPr>
            <w:tcW w:w="1276"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不满意</w:t>
            </w:r>
          </w:p>
        </w:tc>
        <w:tc>
          <w:tcPr>
            <w:tcW w:w="1134" w:type="dxa"/>
            <w:shd w:val="clear" w:color="auto" w:fill="auto"/>
            <w:vAlign w:val="center"/>
          </w:tcPr>
          <w:p>
            <w:pPr>
              <w:widowControl/>
              <w:jc w:val="center"/>
              <w:rPr>
                <w:rFonts w:ascii="宋体" w:hAnsi="宋体" w:cs="宋体"/>
                <w:kern w:val="0"/>
                <w:sz w:val="16"/>
                <w:szCs w:val="16"/>
              </w:rPr>
            </w:pPr>
            <w:r>
              <w:rPr>
                <w:rFonts w:hint="eastAsia" w:ascii="宋体" w:hAnsi="宋体" w:cs="宋体"/>
                <w:kern w:val="0"/>
                <w:sz w:val="16"/>
                <w:szCs w:val="16"/>
              </w:rPr>
              <w:t>0-3.0</w:t>
            </w:r>
          </w:p>
        </w:tc>
        <w:tc>
          <w:tcPr>
            <w:tcW w:w="7088" w:type="dxa"/>
            <w:shd w:val="clear" w:color="auto" w:fill="auto"/>
            <w:vAlign w:val="center"/>
          </w:tcPr>
          <w:p>
            <w:pPr>
              <w:widowControl/>
              <w:jc w:val="left"/>
              <w:rPr>
                <w:rFonts w:ascii="宋体" w:hAnsi="宋体" w:cs="宋体"/>
                <w:kern w:val="0"/>
                <w:sz w:val="16"/>
                <w:szCs w:val="16"/>
              </w:rPr>
            </w:pPr>
            <w:r>
              <w:rPr>
                <w:rFonts w:hint="eastAsia" w:ascii="宋体" w:hAnsi="宋体" w:cs="宋体"/>
                <w:kern w:val="0"/>
                <w:sz w:val="16"/>
                <w:szCs w:val="16"/>
              </w:rPr>
              <w:t>D.内部使用人员对信息监测系统升级改造满意度不高</w:t>
            </w:r>
          </w:p>
        </w:tc>
      </w:tr>
    </w:tbl>
    <w:p>
      <w:pPr>
        <w:spacing w:line="560" w:lineRule="exact"/>
        <w:rPr>
          <w:rFonts w:ascii="仿宋" w:hAnsi="仿宋" w:eastAsia="仿宋"/>
          <w:color w:val="FF0000"/>
          <w:kern w:val="0"/>
          <w:sz w:val="28"/>
          <w:szCs w:val="28"/>
        </w:rPr>
      </w:pPr>
    </w:p>
    <w:p>
      <w:pPr>
        <w:spacing w:line="560" w:lineRule="exact"/>
        <w:ind w:firstLine="560"/>
        <w:rPr>
          <w:rFonts w:ascii="仿宋" w:hAnsi="仿宋" w:eastAsia="仿宋"/>
          <w:color w:val="FF0000"/>
          <w:kern w:val="0"/>
          <w:sz w:val="28"/>
          <w:szCs w:val="28"/>
        </w:rPr>
      </w:pPr>
    </w:p>
    <w:p>
      <w:pPr>
        <w:spacing w:line="560" w:lineRule="exact"/>
        <w:ind w:firstLine="560"/>
        <w:rPr>
          <w:rFonts w:ascii="仿宋" w:hAnsi="仿宋" w:eastAsia="仿宋"/>
          <w:color w:val="FF0000"/>
          <w:kern w:val="0"/>
          <w:sz w:val="28"/>
          <w:szCs w:val="28"/>
        </w:rPr>
      </w:pPr>
    </w:p>
    <w:p>
      <w:pPr>
        <w:spacing w:line="560" w:lineRule="exact"/>
        <w:ind w:firstLine="560"/>
        <w:rPr>
          <w:rFonts w:ascii="仿宋" w:hAnsi="仿宋" w:eastAsia="仿宋"/>
          <w:color w:val="FF0000"/>
          <w:kern w:val="0"/>
          <w:sz w:val="28"/>
          <w:szCs w:val="28"/>
        </w:rPr>
        <w:sectPr>
          <w:pgSz w:w="16838" w:h="11906" w:orient="landscape"/>
          <w:pgMar w:top="1800" w:right="1440" w:bottom="1800" w:left="1440" w:header="851" w:footer="992" w:gutter="0"/>
          <w:cols w:space="425" w:num="1"/>
          <w:docGrid w:type="lines" w:linePitch="312" w:charSpace="0"/>
        </w:sectPr>
      </w:pP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3.绩效评价方法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本次绩效评价方法主要有效益分析法、比较法、因素分析法、公众评判法。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（1）成本效益分析法。是指将投入与产出、效益进行关联性分析的方法。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（2）比较法。是指将实施情况与绩效目标、历史情况、不同部门和地区同类支出情况进行比较的方法。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（3）因素分析法。是指综合分析影响绩效目标实现、实施效果的内外部因素的方法。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（4）公众评判法。是指通过专家评估、公众问卷及抽样调查的方式进行评判的方法。</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4.绩效评价标准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本项目采用计划标准、行业标准进行评价。</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（1）计划标准。指以预先制定的目标、计划、预算、定额作为评价标准。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w:t>
      </w:r>
      <w:r>
        <w:rPr>
          <w:rFonts w:ascii="仿宋" w:hAnsi="仿宋" w:eastAsia="仿宋"/>
          <w:color w:val="000000"/>
          <w:kern w:val="0"/>
          <w:sz w:val="28"/>
          <w:szCs w:val="28"/>
        </w:rPr>
        <w:t>行业标准。指参照国家公布的行业指标数据制定的评价标准。</w:t>
      </w:r>
    </w:p>
    <w:p>
      <w:pPr>
        <w:pStyle w:val="3"/>
        <w:spacing w:before="0" w:after="0" w:line="360" w:lineRule="auto"/>
        <w:ind w:firstLine="560" w:firstLineChars="200"/>
        <w:rPr>
          <w:rFonts w:ascii="仿宋" w:hAnsi="仿宋" w:eastAsia="仿宋"/>
          <w:kern w:val="0"/>
          <w:sz w:val="28"/>
          <w:szCs w:val="28"/>
        </w:rPr>
      </w:pPr>
      <w:bookmarkStart w:id="6" w:name="_Toc72315869"/>
      <w:r>
        <w:rPr>
          <w:rFonts w:hint="eastAsia" w:ascii="仿宋" w:hAnsi="仿宋" w:eastAsia="仿宋"/>
          <w:kern w:val="0"/>
          <w:sz w:val="28"/>
          <w:szCs w:val="28"/>
        </w:rPr>
        <w:t>（三）绩效评价工作过程</w:t>
      </w:r>
      <w:bookmarkEnd w:id="6"/>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1.前期准备情况</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一是接受委托方任务，拟定部门绩效评价工作方案，成立绩效评价工作组；二是开展入户调研，组织针对性培训；三是收集整理资料。</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2.现场勘查情况</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亲临项目现场，对现场状况进行勘查并形成勘查记录。主要勘查内容为：系统开发及使用情况、相关子系统界面及模块。</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3.资料信息汇总</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评价工作组在充分调研的基础上，对收集资料进行逐一核实，相关各方签收确认。按照指标体系内容和评价重点，工作组进行分类整理并装订成册，供专家审阅评价。</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4.召开绩效评价工作会，形成评价结论</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评价工作组将项目资料汇编成为《资料手册》，供专家等对项目情况进行详细的了解，并在评价会前5个工作日召开专家预备会。在此期间，评价工作组与五位专家就项目问题进行了详细的沟通与探讨。在资料收集齐全、问题相对清晰、指标体系完善的情况下，评价工作组于2021年5月12日召开评价会。会上专家就项目绩效情况进行评价和打分，并出具评价意见。</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5.撰写绩效评价报告</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评价工作组根据五位专家的问题、建议以及评价会的会议纪要，对该项目进行详细的分析总结，并根据项目实际情况撰写绩效评价报告。</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6.沟通反馈初步评价意见</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绩效评价报告初稿完成后，评价工作组就报告中反映的问题与项目单位进行沟通，获取反馈意见。</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7.形成正式绩效评价报告，归档绩效评价资料</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评价工作组在项目单位反馈意见的基础上，对报告内容进行完善，形成正式绩效评价报告；绩效评价工作结束后，整理归档绩效评价资料。</w:t>
      </w:r>
    </w:p>
    <w:p>
      <w:pPr>
        <w:pStyle w:val="2"/>
        <w:spacing w:beforeLines="50" w:afterLines="50"/>
        <w:ind w:left="0" w:firstLine="562"/>
        <w:jc w:val="left"/>
        <w:rPr>
          <w:rFonts w:ascii="仿宋" w:hAnsi="仿宋" w:eastAsia="仿宋"/>
          <w:color w:val="000000" w:themeColor="text1"/>
          <w:sz w:val="28"/>
          <w:szCs w:val="28"/>
        </w:rPr>
      </w:pPr>
      <w:bookmarkStart w:id="7" w:name="_Toc72315870"/>
      <w:r>
        <w:rPr>
          <w:rFonts w:hint="eastAsia" w:ascii="仿宋" w:hAnsi="仿宋" w:eastAsia="仿宋"/>
          <w:color w:val="000000" w:themeColor="text1"/>
          <w:sz w:val="28"/>
          <w:szCs w:val="28"/>
        </w:rPr>
        <w:t>三、综合评价情况及评价结论（附相关评分表）</w:t>
      </w:r>
      <w:bookmarkEnd w:id="7"/>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追加2020年北京市商务楼宇信息监测系统升级改造验收项目”绩效评价综合得分87.76分，其中，项目决策12.82分，项目管理22.39分，项目产出27.00分，项目效益25.55分，项目综合绩效评定结论为“良”，具体情况详见下表。</w:t>
      </w:r>
    </w:p>
    <w:p>
      <w:pPr>
        <w:spacing w:beforeLines="50" w:line="360" w:lineRule="auto"/>
        <w:ind w:firstLine="560"/>
        <w:jc w:val="center"/>
        <w:rPr>
          <w:rFonts w:ascii="仿宋" w:hAnsi="仿宋" w:eastAsia="仿宋"/>
          <w:sz w:val="28"/>
          <w:szCs w:val="28"/>
        </w:rPr>
      </w:pPr>
      <w:r>
        <w:rPr>
          <w:rFonts w:hint="eastAsia" w:ascii="仿宋" w:hAnsi="仿宋" w:eastAsia="仿宋"/>
          <w:sz w:val="28"/>
          <w:szCs w:val="28"/>
        </w:rPr>
        <w:t>“追加2020年北京市商务楼宇信息监测系统升级改造验收项目”</w:t>
      </w:r>
    </w:p>
    <w:p>
      <w:pPr>
        <w:spacing w:beforeLines="50" w:line="360" w:lineRule="auto"/>
        <w:ind w:firstLine="560"/>
        <w:jc w:val="center"/>
        <w:rPr>
          <w:rFonts w:ascii="仿宋" w:hAnsi="仿宋" w:eastAsia="仿宋"/>
          <w:bCs/>
          <w:caps/>
          <w:color w:val="000000"/>
          <w:sz w:val="28"/>
          <w:szCs w:val="28"/>
        </w:rPr>
      </w:pPr>
      <w:r>
        <w:rPr>
          <w:rFonts w:hint="eastAsia" w:ascii="仿宋" w:hAnsi="仿宋" w:eastAsia="仿宋"/>
          <w:bCs/>
          <w:caps/>
          <w:color w:val="000000"/>
          <w:sz w:val="28"/>
          <w:szCs w:val="28"/>
        </w:rPr>
        <w:t>综合评价结论一览表</w:t>
      </w:r>
    </w:p>
    <w:tbl>
      <w:tblPr>
        <w:tblStyle w:val="11"/>
        <w:tblW w:w="0" w:type="auto"/>
        <w:tblInd w:w="93" w:type="dxa"/>
        <w:tblLayout w:type="fixed"/>
        <w:tblCellMar>
          <w:top w:w="0" w:type="dxa"/>
          <w:left w:w="108" w:type="dxa"/>
          <w:bottom w:w="0" w:type="dxa"/>
          <w:right w:w="108" w:type="dxa"/>
        </w:tblCellMar>
      </w:tblPr>
      <w:tblGrid>
        <w:gridCol w:w="3240"/>
        <w:gridCol w:w="2580"/>
        <w:gridCol w:w="2580"/>
      </w:tblGrid>
      <w:tr>
        <w:tblPrEx>
          <w:tblCellMar>
            <w:top w:w="0" w:type="dxa"/>
            <w:left w:w="108" w:type="dxa"/>
            <w:bottom w:w="0" w:type="dxa"/>
            <w:right w:w="108" w:type="dxa"/>
          </w:tblCellMar>
        </w:tblPrEx>
        <w:trPr>
          <w:trHeight w:val="570" w:hRule="atLeast"/>
        </w:trPr>
        <w:tc>
          <w:tcPr>
            <w:tcW w:w="3240" w:type="dxa"/>
            <w:tcBorders>
              <w:top w:val="single" w:color="auto" w:sz="4" w:space="0"/>
              <w:left w:val="single" w:color="auto" w:sz="4" w:space="0"/>
              <w:bottom w:val="single" w:color="auto" w:sz="4" w:space="0"/>
              <w:right w:val="single" w:color="auto" w:sz="4" w:space="0"/>
            </w:tcBorders>
            <w:vAlign w:val="center"/>
          </w:tcPr>
          <w:p>
            <w:pPr>
              <w:widowControl/>
              <w:ind w:firstLine="440"/>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评价内容</w:t>
            </w:r>
          </w:p>
        </w:tc>
        <w:tc>
          <w:tcPr>
            <w:tcW w:w="2580" w:type="dxa"/>
            <w:tcBorders>
              <w:top w:val="single" w:color="auto" w:sz="4" w:space="0"/>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分值</w:t>
            </w:r>
          </w:p>
        </w:tc>
        <w:tc>
          <w:tcPr>
            <w:tcW w:w="2580" w:type="dxa"/>
            <w:tcBorders>
              <w:top w:val="single" w:color="auto" w:sz="4" w:space="0"/>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评价得分</w:t>
            </w:r>
          </w:p>
        </w:tc>
      </w:tr>
      <w:tr>
        <w:tblPrEx>
          <w:tblCellMar>
            <w:top w:w="0" w:type="dxa"/>
            <w:left w:w="108" w:type="dxa"/>
            <w:bottom w:w="0" w:type="dxa"/>
            <w:right w:w="108" w:type="dxa"/>
          </w:tblCellMar>
        </w:tblPrEx>
        <w:trPr>
          <w:trHeight w:val="570" w:hRule="atLeast"/>
        </w:trPr>
        <w:tc>
          <w:tcPr>
            <w:tcW w:w="3240" w:type="dxa"/>
            <w:tcBorders>
              <w:top w:val="nil"/>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themeColor="text1"/>
                <w:kern w:val="0"/>
                <w:sz w:val="24"/>
                <w:szCs w:val="24"/>
              </w:rPr>
            </w:pPr>
            <w:r>
              <w:rPr>
                <w:rFonts w:hint="eastAsia" w:ascii="仿宋" w:hAnsi="仿宋" w:eastAsia="仿宋" w:cs="宋体"/>
                <w:color w:val="000000" w:themeColor="text1"/>
                <w:kern w:val="0"/>
                <w:sz w:val="24"/>
                <w:szCs w:val="24"/>
              </w:rPr>
              <w:t>项目决策</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15</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12.82</w:t>
            </w:r>
          </w:p>
        </w:tc>
      </w:tr>
      <w:tr>
        <w:tblPrEx>
          <w:tblCellMar>
            <w:top w:w="0" w:type="dxa"/>
            <w:left w:w="108" w:type="dxa"/>
            <w:bottom w:w="0" w:type="dxa"/>
            <w:right w:w="108" w:type="dxa"/>
          </w:tblCellMar>
        </w:tblPrEx>
        <w:trPr>
          <w:trHeight w:val="570" w:hRule="atLeast"/>
        </w:trPr>
        <w:tc>
          <w:tcPr>
            <w:tcW w:w="324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themeColor="text1"/>
                <w:kern w:val="0"/>
                <w:sz w:val="24"/>
                <w:szCs w:val="24"/>
              </w:rPr>
            </w:pPr>
            <w:r>
              <w:rPr>
                <w:rFonts w:hint="eastAsia" w:ascii="仿宋" w:hAnsi="仿宋" w:eastAsia="仿宋" w:cs="宋体"/>
                <w:color w:val="000000" w:themeColor="text1"/>
                <w:kern w:val="0"/>
                <w:sz w:val="24"/>
                <w:szCs w:val="24"/>
              </w:rPr>
              <w:t>项目管理</w:t>
            </w:r>
          </w:p>
        </w:tc>
        <w:tc>
          <w:tcPr>
            <w:tcW w:w="2580" w:type="dxa"/>
            <w:tcBorders>
              <w:top w:val="single" w:color="auto" w:sz="4" w:space="0"/>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25</w:t>
            </w:r>
          </w:p>
        </w:tc>
        <w:tc>
          <w:tcPr>
            <w:tcW w:w="2580" w:type="dxa"/>
            <w:tcBorders>
              <w:top w:val="single" w:color="auto" w:sz="4" w:space="0"/>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22.39</w:t>
            </w:r>
          </w:p>
        </w:tc>
      </w:tr>
      <w:tr>
        <w:tblPrEx>
          <w:tblCellMar>
            <w:top w:w="0" w:type="dxa"/>
            <w:left w:w="108" w:type="dxa"/>
            <w:bottom w:w="0" w:type="dxa"/>
            <w:right w:w="108" w:type="dxa"/>
          </w:tblCellMar>
        </w:tblPrEx>
        <w:trPr>
          <w:trHeight w:val="570" w:hRule="atLeast"/>
        </w:trPr>
        <w:tc>
          <w:tcPr>
            <w:tcW w:w="3240" w:type="dxa"/>
            <w:tcBorders>
              <w:top w:val="nil"/>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themeColor="text1"/>
                <w:kern w:val="0"/>
                <w:sz w:val="24"/>
                <w:szCs w:val="24"/>
              </w:rPr>
            </w:pPr>
            <w:r>
              <w:rPr>
                <w:rFonts w:hint="eastAsia" w:ascii="仿宋" w:hAnsi="仿宋" w:eastAsia="仿宋" w:cs="宋体"/>
                <w:color w:val="000000" w:themeColor="text1"/>
                <w:kern w:val="0"/>
                <w:sz w:val="24"/>
                <w:szCs w:val="24"/>
              </w:rPr>
              <w:t>项目产出</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30</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27.00</w:t>
            </w:r>
          </w:p>
        </w:tc>
      </w:tr>
      <w:tr>
        <w:tblPrEx>
          <w:tblCellMar>
            <w:top w:w="0" w:type="dxa"/>
            <w:left w:w="108" w:type="dxa"/>
            <w:bottom w:w="0" w:type="dxa"/>
            <w:right w:w="108" w:type="dxa"/>
          </w:tblCellMar>
        </w:tblPrEx>
        <w:trPr>
          <w:trHeight w:val="570" w:hRule="atLeast"/>
        </w:trPr>
        <w:tc>
          <w:tcPr>
            <w:tcW w:w="3240" w:type="dxa"/>
            <w:tcBorders>
              <w:top w:val="nil"/>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themeColor="text1"/>
                <w:kern w:val="0"/>
                <w:sz w:val="24"/>
                <w:szCs w:val="24"/>
              </w:rPr>
            </w:pPr>
            <w:r>
              <w:rPr>
                <w:rFonts w:hint="eastAsia" w:ascii="仿宋" w:hAnsi="仿宋" w:eastAsia="仿宋" w:cs="宋体"/>
                <w:color w:val="000000" w:themeColor="text1"/>
                <w:kern w:val="0"/>
                <w:sz w:val="24"/>
                <w:szCs w:val="24"/>
              </w:rPr>
              <w:t>项目效益</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30</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25.55</w:t>
            </w:r>
          </w:p>
        </w:tc>
      </w:tr>
      <w:tr>
        <w:tblPrEx>
          <w:tblCellMar>
            <w:top w:w="0" w:type="dxa"/>
            <w:left w:w="108" w:type="dxa"/>
            <w:bottom w:w="0" w:type="dxa"/>
            <w:right w:w="108" w:type="dxa"/>
          </w:tblCellMar>
        </w:tblPrEx>
        <w:trPr>
          <w:trHeight w:val="570" w:hRule="atLeast"/>
        </w:trPr>
        <w:tc>
          <w:tcPr>
            <w:tcW w:w="3240" w:type="dxa"/>
            <w:tcBorders>
              <w:top w:val="nil"/>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综合得分</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100</w:t>
            </w:r>
          </w:p>
        </w:tc>
        <w:tc>
          <w:tcPr>
            <w:tcW w:w="2580" w:type="dxa"/>
            <w:tcBorders>
              <w:top w:val="nil"/>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87.76</w:t>
            </w:r>
          </w:p>
        </w:tc>
      </w:tr>
      <w:tr>
        <w:tblPrEx>
          <w:tblCellMar>
            <w:top w:w="0" w:type="dxa"/>
            <w:left w:w="108" w:type="dxa"/>
            <w:bottom w:w="0" w:type="dxa"/>
            <w:right w:w="108" w:type="dxa"/>
          </w:tblCellMar>
        </w:tblPrEx>
        <w:trPr>
          <w:trHeight w:val="570" w:hRule="atLeast"/>
        </w:trPr>
        <w:tc>
          <w:tcPr>
            <w:tcW w:w="3240" w:type="dxa"/>
            <w:tcBorders>
              <w:top w:val="nil"/>
              <w:left w:val="single" w:color="auto" w:sz="4" w:space="0"/>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绩效评定级别</w:t>
            </w:r>
          </w:p>
        </w:tc>
        <w:tc>
          <w:tcPr>
            <w:tcW w:w="5160" w:type="dxa"/>
            <w:gridSpan w:val="2"/>
            <w:tcBorders>
              <w:top w:val="single" w:color="auto" w:sz="4" w:space="0"/>
              <w:left w:val="nil"/>
              <w:bottom w:val="single" w:color="auto" w:sz="4" w:space="0"/>
              <w:right w:val="single" w:color="auto" w:sz="4" w:space="0"/>
            </w:tcBorders>
            <w:vAlign w:val="center"/>
          </w:tcPr>
          <w:p>
            <w:pPr>
              <w:widowControl/>
              <w:jc w:val="center"/>
              <w:rPr>
                <w:rFonts w:ascii="仿宋" w:hAnsi="仿宋" w:eastAsia="仿宋" w:cs="宋体"/>
                <w:color w:val="000000"/>
                <w:kern w:val="0"/>
                <w:sz w:val="24"/>
                <w:szCs w:val="24"/>
              </w:rPr>
            </w:pPr>
            <w:r>
              <w:rPr>
                <w:rFonts w:hint="eastAsia" w:ascii="仿宋" w:hAnsi="仿宋" w:eastAsia="仿宋" w:cs="宋体"/>
                <w:color w:val="000000"/>
                <w:kern w:val="0"/>
                <w:sz w:val="24"/>
                <w:szCs w:val="24"/>
              </w:rPr>
              <w:t>良</w:t>
            </w:r>
          </w:p>
        </w:tc>
      </w:tr>
    </w:tbl>
    <w:p>
      <w:pPr>
        <w:pStyle w:val="2"/>
        <w:spacing w:beforeLines="50" w:afterLines="50"/>
        <w:ind w:left="0" w:firstLine="562"/>
        <w:jc w:val="left"/>
        <w:rPr>
          <w:rFonts w:ascii="仿宋" w:hAnsi="仿宋" w:eastAsia="仿宋"/>
          <w:color w:val="000000" w:themeColor="text1"/>
          <w:sz w:val="28"/>
          <w:szCs w:val="28"/>
        </w:rPr>
      </w:pPr>
      <w:bookmarkStart w:id="8" w:name="_Toc72315871"/>
      <w:r>
        <w:rPr>
          <w:rFonts w:hint="eastAsia" w:ascii="仿宋" w:hAnsi="仿宋" w:eastAsia="仿宋"/>
          <w:color w:val="000000" w:themeColor="text1"/>
          <w:sz w:val="28"/>
          <w:szCs w:val="28"/>
        </w:rPr>
        <w:t>四、绩效评价指标分析</w:t>
      </w:r>
      <w:bookmarkEnd w:id="8"/>
    </w:p>
    <w:p>
      <w:pPr>
        <w:pStyle w:val="3"/>
        <w:spacing w:before="0" w:after="0" w:line="360" w:lineRule="auto"/>
        <w:ind w:firstLine="560" w:firstLineChars="200"/>
        <w:rPr>
          <w:rFonts w:ascii="仿宋" w:hAnsi="仿宋" w:eastAsia="仿宋"/>
          <w:kern w:val="0"/>
          <w:sz w:val="28"/>
          <w:szCs w:val="28"/>
        </w:rPr>
      </w:pPr>
      <w:bookmarkStart w:id="9" w:name="_Toc72315872"/>
      <w:r>
        <w:rPr>
          <w:rFonts w:hint="eastAsia" w:ascii="仿宋" w:hAnsi="仿宋" w:eastAsia="仿宋"/>
          <w:kern w:val="0"/>
          <w:sz w:val="28"/>
          <w:szCs w:val="28"/>
        </w:rPr>
        <w:t>（一）项目决策情况</w:t>
      </w:r>
      <w:bookmarkEnd w:id="9"/>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1.项目立项</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2018年10月2</w:t>
      </w:r>
      <w:r>
        <w:rPr>
          <w:rFonts w:ascii="仿宋" w:hAnsi="仿宋" w:eastAsia="仿宋"/>
          <w:color w:val="000000"/>
          <w:kern w:val="0"/>
          <w:sz w:val="28"/>
          <w:szCs w:val="28"/>
        </w:rPr>
        <w:t>3</w:t>
      </w:r>
      <w:r>
        <w:rPr>
          <w:rFonts w:hint="eastAsia" w:ascii="仿宋" w:hAnsi="仿宋" w:eastAsia="仿宋"/>
          <w:color w:val="000000"/>
          <w:kern w:val="0"/>
          <w:sz w:val="28"/>
          <w:szCs w:val="28"/>
        </w:rPr>
        <w:t>日，陈吉宁市长到原市工商局综合调研时指示由工商局牵头建设本项目。2</w:t>
      </w:r>
      <w:r>
        <w:rPr>
          <w:rFonts w:ascii="仿宋" w:hAnsi="仿宋" w:eastAsia="仿宋"/>
          <w:color w:val="000000"/>
          <w:kern w:val="0"/>
          <w:sz w:val="28"/>
          <w:szCs w:val="28"/>
        </w:rPr>
        <w:t>019</w:t>
      </w:r>
      <w:r>
        <w:rPr>
          <w:rFonts w:hint="eastAsia" w:ascii="仿宋" w:hAnsi="仿宋" w:eastAsia="仿宋"/>
          <w:color w:val="000000"/>
          <w:kern w:val="0"/>
          <w:sz w:val="28"/>
          <w:szCs w:val="28"/>
        </w:rPr>
        <w:t>年上半年，市领导多次召集市场监督管理局及市金融局、市经信局、市统计局等单位进行研究，明确项目执行计划和项目建设范围。2019年7月8日，市场监督管理局党组会审议通过本项目建设方案及经费申报安排，决定在原市工商局市场主体网格监管系统商务楼宇管理功能模块的基础上进行升级改造，并按要求向市经信局申请了项目立项。2</w:t>
      </w:r>
      <w:r>
        <w:rPr>
          <w:rFonts w:ascii="仿宋" w:hAnsi="仿宋" w:eastAsia="仿宋"/>
          <w:color w:val="000000"/>
          <w:kern w:val="0"/>
          <w:sz w:val="28"/>
          <w:szCs w:val="28"/>
        </w:rPr>
        <w:t>019</w:t>
      </w:r>
      <w:r>
        <w:rPr>
          <w:rFonts w:hint="eastAsia" w:ascii="仿宋" w:hAnsi="仿宋" w:eastAsia="仿宋"/>
          <w:color w:val="000000"/>
          <w:kern w:val="0"/>
          <w:sz w:val="28"/>
          <w:szCs w:val="28"/>
        </w:rPr>
        <w:t>年1</w:t>
      </w:r>
      <w:r>
        <w:rPr>
          <w:rFonts w:ascii="仿宋" w:hAnsi="仿宋" w:eastAsia="仿宋"/>
          <w:color w:val="000000"/>
          <w:kern w:val="0"/>
          <w:sz w:val="28"/>
          <w:szCs w:val="28"/>
        </w:rPr>
        <w:t>0</w:t>
      </w:r>
      <w:r>
        <w:rPr>
          <w:rFonts w:hint="eastAsia" w:ascii="仿宋" w:hAnsi="仿宋" w:eastAsia="仿宋"/>
          <w:color w:val="000000"/>
          <w:kern w:val="0"/>
          <w:sz w:val="28"/>
          <w:szCs w:val="28"/>
        </w:rPr>
        <w:t>月1</w:t>
      </w:r>
      <w:r>
        <w:rPr>
          <w:rFonts w:ascii="仿宋" w:hAnsi="仿宋" w:eastAsia="仿宋"/>
          <w:color w:val="000000"/>
          <w:kern w:val="0"/>
          <w:sz w:val="28"/>
          <w:szCs w:val="28"/>
        </w:rPr>
        <w:t>0</w:t>
      </w:r>
      <w:r>
        <w:rPr>
          <w:rFonts w:hint="eastAsia" w:ascii="仿宋" w:hAnsi="仿宋" w:eastAsia="仿宋"/>
          <w:color w:val="000000"/>
          <w:kern w:val="0"/>
          <w:sz w:val="28"/>
          <w:szCs w:val="28"/>
        </w:rPr>
        <w:t>日，市经信局出具了审查意见函，认为该项目有必要实施，项目申报材料通过评审。1</w:t>
      </w:r>
      <w:r>
        <w:rPr>
          <w:rFonts w:ascii="仿宋" w:hAnsi="仿宋" w:eastAsia="仿宋"/>
          <w:color w:val="000000"/>
          <w:kern w:val="0"/>
          <w:sz w:val="28"/>
          <w:szCs w:val="28"/>
        </w:rPr>
        <w:t>1</w:t>
      </w:r>
      <w:r>
        <w:rPr>
          <w:rFonts w:hint="eastAsia" w:ascii="仿宋" w:hAnsi="仿宋" w:eastAsia="仿宋"/>
          <w:color w:val="000000"/>
          <w:kern w:val="0"/>
          <w:sz w:val="28"/>
          <w:szCs w:val="28"/>
        </w:rPr>
        <w:t>月2</w:t>
      </w:r>
      <w:r>
        <w:rPr>
          <w:rFonts w:ascii="仿宋" w:hAnsi="仿宋" w:eastAsia="仿宋"/>
          <w:color w:val="000000"/>
          <w:kern w:val="0"/>
          <w:sz w:val="28"/>
          <w:szCs w:val="28"/>
        </w:rPr>
        <w:t>6</w:t>
      </w:r>
      <w:r>
        <w:rPr>
          <w:rFonts w:hint="eastAsia" w:ascii="仿宋" w:hAnsi="仿宋" w:eastAsia="仿宋"/>
          <w:color w:val="000000"/>
          <w:kern w:val="0"/>
          <w:sz w:val="28"/>
          <w:szCs w:val="28"/>
        </w:rPr>
        <w:t>日，市财政局预算评审中心审定了项目预算，并出具了评审报告。</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该项目与项目单位职能及年度工作计划相符，项目开展了前期调研及可行性研究，项目立项履行了相关手续，申请、批复审批程序，但未见楼宇信息监测系统建设的整体规划或中长期计划，体现发展战略的顶层设计不够充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2.绩效目标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本项目年度预期目标为升级改造完成北京市商务楼宇信息监测系统一套，使得系统功能更加完善，商务楼宇信息监管效能得到有力提升，为楼宇经济分析决策提供有力支撑，为社会共治楼宇经济提供有力平台。</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一是产出数量：完成北京市商务楼宇信息监测系统一套包括：综合分析服务子系统、经济决策辅助子系统、社会共治应用子系统、风险监测预警子系统、楼宇智慧服务子系统、业务应用支持以及楼宇信息数据库等七个子系统；</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二是产出质量：完成北京市商务楼宇信息监测系统升级改造开发工作，验收通过率100%；系统支持1年365天不间断运行，系统无重大故障，应用开发软件问题单次修复时间不超过24小时；</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三是产出进度：项目建设工期为合同签订之日起9个月内，试运行至少1个月，正式运行2个月，2021年3月底前完成验收工作；</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四是产出成本：687万元；</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五是效益：商务楼宇信息监测管理水平得到提升，商务楼宇信息监测系统功能更加完善；</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六是服务对象满意度：内部使用人员满意度≥90%。</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项目绩效目标较为合理、明确，可衡量及评价。</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3.资金投入</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项目总投资概算金额3857.5万元，2019年11月26日经北京市财政局审定，项目投资预算为2423.8万元，审减1433.7万元，审减率37.17%,财政评审的审减额较大,项目预算编制准确性不足。</w:t>
      </w:r>
    </w:p>
    <w:p>
      <w:pPr>
        <w:pStyle w:val="3"/>
        <w:spacing w:before="0" w:after="0" w:line="360" w:lineRule="auto"/>
        <w:ind w:firstLine="560" w:firstLineChars="200"/>
        <w:rPr>
          <w:rFonts w:ascii="仿宋" w:hAnsi="仿宋" w:eastAsia="仿宋"/>
          <w:kern w:val="0"/>
          <w:sz w:val="28"/>
          <w:szCs w:val="28"/>
        </w:rPr>
      </w:pPr>
      <w:bookmarkStart w:id="10" w:name="_Toc72315873"/>
      <w:r>
        <w:rPr>
          <w:rFonts w:hint="eastAsia" w:ascii="仿宋" w:hAnsi="仿宋" w:eastAsia="仿宋"/>
          <w:kern w:val="0"/>
          <w:sz w:val="28"/>
          <w:szCs w:val="28"/>
        </w:rPr>
        <w:t>（二）项目过程情况</w:t>
      </w:r>
      <w:bookmarkEnd w:id="10"/>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1.资金管理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能够严格执行《北京市市场监督管理局项目经费管理办法》（京市监发〔2019〕56号）、《中共北京市市场监督管理局党组“三重一大”决策实施细则》（京市监党组发〔2020〕73号）有关项目资金管理规定，完成了项目资金的支付，并报局长办公会审议，切实做到了专账核算、专项资金专款专用。</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项目预算批复6</w:t>
      </w:r>
      <w:r>
        <w:rPr>
          <w:rFonts w:ascii="仿宋" w:hAnsi="仿宋" w:eastAsia="仿宋"/>
          <w:color w:val="000000"/>
          <w:kern w:val="0"/>
          <w:sz w:val="28"/>
          <w:szCs w:val="28"/>
        </w:rPr>
        <w:t>87</w:t>
      </w:r>
      <w:r>
        <w:rPr>
          <w:rFonts w:hint="eastAsia" w:ascii="仿宋" w:hAnsi="仿宋" w:eastAsia="仿宋"/>
          <w:color w:val="000000"/>
          <w:kern w:val="0"/>
          <w:sz w:val="28"/>
          <w:szCs w:val="28"/>
        </w:rPr>
        <w:t>万元，实际到位687万元，资金到位率100%。已于</w:t>
      </w:r>
      <w:r>
        <w:rPr>
          <w:rFonts w:ascii="仿宋" w:hAnsi="仿宋" w:eastAsia="仿宋"/>
          <w:color w:val="000000"/>
          <w:kern w:val="0"/>
          <w:sz w:val="28"/>
          <w:szCs w:val="28"/>
        </w:rPr>
        <w:t>2021</w:t>
      </w:r>
      <w:r>
        <w:rPr>
          <w:rFonts w:hint="eastAsia" w:ascii="仿宋" w:hAnsi="仿宋" w:eastAsia="仿宋"/>
          <w:color w:val="000000"/>
          <w:kern w:val="0"/>
          <w:sz w:val="28"/>
          <w:szCs w:val="28"/>
        </w:rPr>
        <w:t>年</w:t>
      </w:r>
      <w:r>
        <w:rPr>
          <w:rFonts w:ascii="仿宋" w:hAnsi="仿宋" w:eastAsia="仿宋"/>
          <w:color w:val="000000"/>
          <w:kern w:val="0"/>
          <w:sz w:val="28"/>
          <w:szCs w:val="28"/>
        </w:rPr>
        <w:t>4</w:t>
      </w:r>
      <w:r>
        <w:rPr>
          <w:rFonts w:hint="eastAsia" w:ascii="仿宋" w:hAnsi="仿宋" w:eastAsia="仿宋"/>
          <w:color w:val="000000"/>
          <w:kern w:val="0"/>
          <w:sz w:val="28"/>
          <w:szCs w:val="28"/>
        </w:rPr>
        <w:t>月</w:t>
      </w:r>
      <w:r>
        <w:rPr>
          <w:rFonts w:ascii="仿宋" w:hAnsi="仿宋" w:eastAsia="仿宋"/>
          <w:color w:val="000000"/>
          <w:kern w:val="0"/>
          <w:sz w:val="28"/>
          <w:szCs w:val="28"/>
        </w:rPr>
        <w:t>27</w:t>
      </w:r>
      <w:r>
        <w:rPr>
          <w:rFonts w:hint="eastAsia" w:ascii="仿宋" w:hAnsi="仿宋" w:eastAsia="仿宋"/>
          <w:color w:val="000000"/>
          <w:kern w:val="0"/>
          <w:sz w:val="28"/>
          <w:szCs w:val="28"/>
        </w:rPr>
        <w:t>日实际支出687万元，其中，第一包商务楼宇信息监测系统合同验收款</w:t>
      </w:r>
      <w:r>
        <w:rPr>
          <w:rFonts w:ascii="仿宋" w:hAnsi="仿宋" w:eastAsia="仿宋"/>
          <w:color w:val="000000"/>
          <w:kern w:val="0"/>
          <w:sz w:val="28"/>
          <w:szCs w:val="28"/>
        </w:rPr>
        <w:t>363.8</w:t>
      </w:r>
      <w:r>
        <w:rPr>
          <w:rFonts w:hint="eastAsia" w:ascii="仿宋" w:hAnsi="仿宋" w:eastAsia="仿宋"/>
          <w:color w:val="000000"/>
          <w:kern w:val="0"/>
          <w:sz w:val="28"/>
          <w:szCs w:val="28"/>
        </w:rPr>
        <w:t>万元；第二包商务楼宇经济分析系统验收款</w:t>
      </w:r>
      <w:r>
        <w:rPr>
          <w:rFonts w:ascii="仿宋" w:hAnsi="仿宋" w:eastAsia="仿宋"/>
          <w:color w:val="000000"/>
          <w:kern w:val="0"/>
          <w:sz w:val="28"/>
          <w:szCs w:val="28"/>
        </w:rPr>
        <w:t>305.4</w:t>
      </w:r>
      <w:r>
        <w:rPr>
          <w:rFonts w:hint="eastAsia" w:ascii="仿宋" w:hAnsi="仿宋" w:eastAsia="仿宋"/>
          <w:color w:val="000000"/>
          <w:kern w:val="0"/>
          <w:sz w:val="28"/>
          <w:szCs w:val="28"/>
        </w:rPr>
        <w:t>万元；第四包监理服务验收款</w:t>
      </w:r>
      <w:r>
        <w:rPr>
          <w:rFonts w:ascii="仿宋" w:hAnsi="仿宋" w:eastAsia="仿宋"/>
          <w:color w:val="000000"/>
          <w:kern w:val="0"/>
          <w:sz w:val="28"/>
          <w:szCs w:val="28"/>
        </w:rPr>
        <w:t>17.8</w:t>
      </w:r>
      <w:r>
        <w:rPr>
          <w:rFonts w:hint="eastAsia" w:ascii="仿宋" w:hAnsi="仿宋" w:eastAsia="仿宋"/>
          <w:color w:val="000000"/>
          <w:kern w:val="0"/>
          <w:sz w:val="28"/>
          <w:szCs w:val="28"/>
        </w:rPr>
        <w:t>万元，预算执行率100%。</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2.组织实施</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2020年1月2日、3日，</w:t>
      </w:r>
      <w:r>
        <w:rPr>
          <w:rFonts w:hint="eastAsia" w:ascii="仿宋" w:hAnsi="仿宋" w:eastAsia="仿宋"/>
          <w:color w:val="000000"/>
          <w:kern w:val="0"/>
          <w:sz w:val="28"/>
          <w:szCs w:val="28"/>
          <w:lang w:val="en-US" w:eastAsia="zh-CN"/>
        </w:rPr>
        <w:t>北京市市场监督管理局</w:t>
      </w:r>
      <w:bookmarkStart w:id="19" w:name="_GoBack"/>
      <w:bookmarkEnd w:id="19"/>
      <w:r>
        <w:rPr>
          <w:rFonts w:hint="eastAsia" w:ascii="仿宋" w:hAnsi="仿宋" w:eastAsia="仿宋"/>
          <w:color w:val="000000"/>
          <w:kern w:val="0"/>
          <w:sz w:val="28"/>
          <w:szCs w:val="28"/>
        </w:rPr>
        <w:t>以公开招标方式分四包实施了本项目的采购工作，选定了第一、二、四包的承建单位。第一包：商务楼宇信息监测系统，中标方为北京华宇信息技术有限公司，中标金额1212.7万元；第二包：商务楼宇经济分析系统，中标方为红盾大数据（北京）有限公司，中标金额1018万元；第四包：监理服务，中标方为北京北咨信息工程咨询有限公司，中标金额44.5万元。</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第三包：北京市政务云平台资源租赁服务，由于投标人不足三家现场作废标处理。经2020年第5次局长办公会审议通过后，于2020年4月24日以邀请比选方式确定了第三包的采购中标方为首都信息发展股份有限公司，中标金额38.0088万元。</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自2020年1月开始启动，开展项目建设、入云部署和云平台运维保障工作，且监理公司全过程监督。2020年10月30日通过初步验收后，进入系统试运行阶段。试运行期间，根据初验专家意见完成了系统调整，并通过了第三方测试，系统运行稳定正常，运维工作安排有序。2021年4月1日，市场监督管理局组织专家召开了项目竣工验收会，经专家质询和讨论，专家一致同意北京市商务楼宇信息监测系统升级改造项目通过竣工验收。验收小组认为专家评审意见是公正、客观的，验收小组支持竣工验收意见，同意项目通过竣工验收。</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项目领导小组为保障项目建设过程规范、达到预期目标，编制完成了《北京市商务楼宇信息监测系统升级改造项目管理办法》，且项</w:t>
      </w:r>
      <w:r>
        <w:rPr>
          <w:rFonts w:ascii="仿宋" w:hAnsi="仿宋" w:eastAsia="仿宋"/>
          <w:color w:val="000000"/>
          <w:kern w:val="0"/>
          <w:sz w:val="28"/>
          <w:szCs w:val="28"/>
        </w:rPr>
        <w:t>目组织实施过程</w:t>
      </w:r>
      <w:r>
        <w:rPr>
          <w:rFonts w:hint="eastAsia" w:ascii="仿宋" w:hAnsi="仿宋" w:eastAsia="仿宋"/>
          <w:color w:val="000000"/>
          <w:kern w:val="0"/>
          <w:sz w:val="28"/>
          <w:szCs w:val="28"/>
        </w:rPr>
        <w:t>按照制度规定履行了招标、合同签订、项目验收等程序。</w:t>
      </w:r>
    </w:p>
    <w:p>
      <w:pPr>
        <w:pStyle w:val="3"/>
        <w:spacing w:before="0" w:after="0" w:line="360" w:lineRule="auto"/>
        <w:ind w:firstLine="560" w:firstLineChars="200"/>
        <w:rPr>
          <w:rFonts w:ascii="仿宋" w:hAnsi="仿宋" w:eastAsia="仿宋"/>
          <w:kern w:val="0"/>
          <w:sz w:val="28"/>
          <w:szCs w:val="28"/>
        </w:rPr>
      </w:pPr>
      <w:bookmarkStart w:id="11" w:name="_Toc72315874"/>
      <w:r>
        <w:rPr>
          <w:rFonts w:hint="eastAsia" w:ascii="仿宋" w:hAnsi="仿宋" w:eastAsia="仿宋"/>
          <w:kern w:val="0"/>
          <w:sz w:val="28"/>
          <w:szCs w:val="28"/>
        </w:rPr>
        <w:t>（三）项目产出情况</w:t>
      </w:r>
      <w:bookmarkEnd w:id="11"/>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1.产出数量</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按照项目规划设计实际完成了全部七个应用子系统的建设，包含综合分析服务子系统、经济决策辅助子系统、社会共治应用子系统、风险监测预警子系统、楼宇智慧服务子系统、业务应用支撑以及楼宇信息数据库，已完成了年初设定的产出数量指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2.产出质量</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本项目在建设阶段已完成“一套监测系统，七个子系统”的升级改造开发工作，并于2</w:t>
      </w:r>
      <w:r>
        <w:rPr>
          <w:rFonts w:ascii="仿宋" w:hAnsi="仿宋" w:eastAsia="仿宋"/>
          <w:color w:val="000000"/>
          <w:kern w:val="0"/>
          <w:sz w:val="28"/>
          <w:szCs w:val="28"/>
        </w:rPr>
        <w:t>021</w:t>
      </w:r>
      <w:r>
        <w:rPr>
          <w:rFonts w:hint="eastAsia" w:ascii="仿宋" w:hAnsi="仿宋" w:eastAsia="仿宋"/>
          <w:color w:val="000000"/>
          <w:kern w:val="0"/>
          <w:sz w:val="28"/>
          <w:szCs w:val="28"/>
        </w:rPr>
        <w:t>年4月1日完成验收，验收通过率1</w:t>
      </w:r>
      <w:r>
        <w:rPr>
          <w:rFonts w:ascii="仿宋" w:hAnsi="仿宋" w:eastAsia="仿宋"/>
          <w:color w:val="000000"/>
          <w:kern w:val="0"/>
          <w:sz w:val="28"/>
          <w:szCs w:val="28"/>
        </w:rPr>
        <w:t>00%</w:t>
      </w:r>
      <w:r>
        <w:rPr>
          <w:rFonts w:hint="eastAsia" w:ascii="仿宋" w:hAnsi="仿宋" w:eastAsia="仿宋"/>
          <w:color w:val="000000"/>
          <w:kern w:val="0"/>
          <w:sz w:val="28"/>
          <w:szCs w:val="28"/>
        </w:rPr>
        <w:t>，已达到年初设定的质量指标；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系统采用的技术成熟、可靠性高，顺利通过第三方安全测评及软件测评。上线后系统运行稳定，在技术、功能、易用性等方面达到了系统运行的预期效果。系统可支撑1年365天不间断运行，系统无重大故障，应用开发软件问题单次修复时间不超过24小时，已完成了年初设定的质量指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3.产出进度</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本项目实际建设工作于2</w:t>
      </w:r>
      <w:r>
        <w:rPr>
          <w:rFonts w:ascii="仿宋" w:hAnsi="仿宋" w:eastAsia="仿宋"/>
          <w:color w:val="000000"/>
          <w:kern w:val="0"/>
          <w:sz w:val="28"/>
          <w:szCs w:val="28"/>
        </w:rPr>
        <w:t>020</w:t>
      </w:r>
      <w:r>
        <w:rPr>
          <w:rFonts w:hint="eastAsia" w:ascii="仿宋" w:hAnsi="仿宋" w:eastAsia="仿宋"/>
          <w:color w:val="000000"/>
          <w:kern w:val="0"/>
          <w:sz w:val="28"/>
          <w:szCs w:val="28"/>
        </w:rPr>
        <w:t>年2月启动、9月完成设计开发、1</w:t>
      </w:r>
      <w:r>
        <w:rPr>
          <w:rFonts w:ascii="仿宋" w:hAnsi="仿宋" w:eastAsia="仿宋"/>
          <w:color w:val="000000"/>
          <w:kern w:val="0"/>
          <w:sz w:val="28"/>
          <w:szCs w:val="28"/>
        </w:rPr>
        <w:t>0</w:t>
      </w:r>
      <w:r>
        <w:rPr>
          <w:rFonts w:hint="eastAsia" w:ascii="仿宋" w:hAnsi="仿宋" w:eastAsia="仿宋"/>
          <w:color w:val="000000"/>
          <w:kern w:val="0"/>
          <w:sz w:val="28"/>
          <w:szCs w:val="28"/>
        </w:rPr>
        <w:t>月3</w:t>
      </w:r>
      <w:r>
        <w:rPr>
          <w:rFonts w:ascii="仿宋" w:hAnsi="仿宋" w:eastAsia="仿宋"/>
          <w:color w:val="000000"/>
          <w:kern w:val="0"/>
          <w:sz w:val="28"/>
          <w:szCs w:val="28"/>
        </w:rPr>
        <w:t>0</w:t>
      </w:r>
      <w:r>
        <w:rPr>
          <w:rFonts w:hint="eastAsia" w:ascii="仿宋" w:hAnsi="仿宋" w:eastAsia="仿宋"/>
          <w:color w:val="000000"/>
          <w:kern w:val="0"/>
          <w:sz w:val="28"/>
          <w:szCs w:val="28"/>
        </w:rPr>
        <w:t>日完成初验、1</w:t>
      </w:r>
      <w:r>
        <w:rPr>
          <w:rFonts w:ascii="仿宋" w:hAnsi="仿宋" w:eastAsia="仿宋"/>
          <w:color w:val="000000"/>
          <w:kern w:val="0"/>
          <w:sz w:val="28"/>
          <w:szCs w:val="28"/>
        </w:rPr>
        <w:t>0</w:t>
      </w:r>
      <w:r>
        <w:rPr>
          <w:rFonts w:hint="eastAsia" w:ascii="仿宋" w:hAnsi="仿宋" w:eastAsia="仿宋"/>
          <w:color w:val="000000"/>
          <w:kern w:val="0"/>
          <w:sz w:val="28"/>
          <w:szCs w:val="28"/>
        </w:rPr>
        <w:t>月3</w:t>
      </w:r>
      <w:r>
        <w:rPr>
          <w:rFonts w:ascii="仿宋" w:hAnsi="仿宋" w:eastAsia="仿宋"/>
          <w:color w:val="000000"/>
          <w:kern w:val="0"/>
          <w:sz w:val="28"/>
          <w:szCs w:val="28"/>
        </w:rPr>
        <w:t>1</w:t>
      </w:r>
      <w:r>
        <w:rPr>
          <w:rFonts w:hint="eastAsia" w:ascii="仿宋" w:hAnsi="仿宋" w:eastAsia="仿宋"/>
          <w:color w:val="000000"/>
          <w:kern w:val="0"/>
          <w:sz w:val="28"/>
          <w:szCs w:val="28"/>
        </w:rPr>
        <w:t>日开始试运行、并于2021年4月</w:t>
      </w:r>
      <w:r>
        <w:rPr>
          <w:rFonts w:ascii="仿宋" w:hAnsi="仿宋" w:eastAsia="仿宋"/>
          <w:color w:val="000000"/>
          <w:kern w:val="0"/>
          <w:sz w:val="28"/>
          <w:szCs w:val="28"/>
        </w:rPr>
        <w:t>1</w:t>
      </w:r>
      <w:r>
        <w:rPr>
          <w:rFonts w:hint="eastAsia" w:ascii="仿宋" w:hAnsi="仿宋" w:eastAsia="仿宋"/>
          <w:color w:val="000000"/>
          <w:kern w:val="0"/>
          <w:sz w:val="28"/>
          <w:szCs w:val="28"/>
        </w:rPr>
        <w:t>日完成项目终验工作。由于协调评审专家时间安排，项目终验工作较计划工期晚一日。其他项目时间节点，包括项目启动、设计开发、初验、试运行等工作均按预期时间完成。</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4.产出成本</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本项目预算资金6</w:t>
      </w:r>
      <w:r>
        <w:rPr>
          <w:rFonts w:ascii="仿宋" w:hAnsi="仿宋" w:eastAsia="仿宋"/>
          <w:color w:val="000000"/>
          <w:kern w:val="0"/>
          <w:sz w:val="28"/>
          <w:szCs w:val="28"/>
        </w:rPr>
        <w:t>87</w:t>
      </w:r>
      <w:r>
        <w:rPr>
          <w:rFonts w:hint="eastAsia" w:ascii="仿宋" w:hAnsi="仿宋" w:eastAsia="仿宋"/>
          <w:color w:val="000000"/>
          <w:kern w:val="0"/>
          <w:sz w:val="28"/>
          <w:szCs w:val="28"/>
        </w:rPr>
        <w:t>万元，已于</w:t>
      </w:r>
      <w:r>
        <w:rPr>
          <w:rFonts w:ascii="仿宋" w:hAnsi="仿宋" w:eastAsia="仿宋"/>
          <w:color w:val="000000"/>
          <w:kern w:val="0"/>
          <w:sz w:val="28"/>
          <w:szCs w:val="28"/>
        </w:rPr>
        <w:t>2021</w:t>
      </w:r>
      <w:r>
        <w:rPr>
          <w:rFonts w:hint="eastAsia" w:ascii="仿宋" w:hAnsi="仿宋" w:eastAsia="仿宋"/>
          <w:color w:val="000000"/>
          <w:kern w:val="0"/>
          <w:sz w:val="28"/>
          <w:szCs w:val="28"/>
        </w:rPr>
        <w:t>年</w:t>
      </w:r>
      <w:r>
        <w:rPr>
          <w:rFonts w:ascii="仿宋" w:hAnsi="仿宋" w:eastAsia="仿宋"/>
          <w:color w:val="000000"/>
          <w:kern w:val="0"/>
          <w:sz w:val="28"/>
          <w:szCs w:val="28"/>
        </w:rPr>
        <w:t>4</w:t>
      </w:r>
      <w:r>
        <w:rPr>
          <w:rFonts w:hint="eastAsia" w:ascii="仿宋" w:hAnsi="仿宋" w:eastAsia="仿宋"/>
          <w:color w:val="000000"/>
          <w:kern w:val="0"/>
          <w:sz w:val="28"/>
          <w:szCs w:val="28"/>
        </w:rPr>
        <w:t>月</w:t>
      </w:r>
      <w:r>
        <w:rPr>
          <w:rFonts w:ascii="仿宋" w:hAnsi="仿宋" w:eastAsia="仿宋"/>
          <w:color w:val="000000"/>
          <w:kern w:val="0"/>
          <w:sz w:val="28"/>
          <w:szCs w:val="28"/>
        </w:rPr>
        <w:t>27</w:t>
      </w:r>
      <w:r>
        <w:rPr>
          <w:rFonts w:hint="eastAsia" w:ascii="仿宋" w:hAnsi="仿宋" w:eastAsia="仿宋"/>
          <w:color w:val="000000"/>
          <w:kern w:val="0"/>
          <w:sz w:val="28"/>
          <w:szCs w:val="28"/>
        </w:rPr>
        <w:t>日全部支付完成，实现预期目标。</w:t>
      </w:r>
    </w:p>
    <w:p>
      <w:pPr>
        <w:pStyle w:val="3"/>
        <w:spacing w:before="0" w:after="0" w:line="360" w:lineRule="auto"/>
        <w:ind w:firstLine="560" w:firstLineChars="200"/>
        <w:rPr>
          <w:rFonts w:ascii="仿宋" w:hAnsi="仿宋" w:eastAsia="仿宋"/>
          <w:kern w:val="0"/>
          <w:sz w:val="28"/>
          <w:szCs w:val="28"/>
        </w:rPr>
      </w:pPr>
      <w:bookmarkStart w:id="12" w:name="_Toc72315875"/>
      <w:r>
        <w:rPr>
          <w:rFonts w:hint="eastAsia" w:ascii="仿宋" w:hAnsi="仿宋" w:eastAsia="仿宋"/>
          <w:kern w:val="0"/>
          <w:sz w:val="28"/>
          <w:szCs w:val="28"/>
        </w:rPr>
        <w:t>（四）项目效益情况</w:t>
      </w:r>
      <w:bookmarkEnd w:id="12"/>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1.社会效益</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结合项目建设的切实需求，依托大数据、人工智能等技术，围绕楼宇精细化管理和服务工作需求，建设了相应的功能模块，有助于更多的社会基层组织和人员参与社会监管，推动商务楼宇经济健康和谐高速发展，实现了社会范围内的“共建、共享、共治”，促进了全市经济产业结构优化调整和首都核心功能优化提升，完成了提升商务楼宇信息监测管理水平、完善商务楼宇信息监测系统功能的目标。社会效益体现在以下方面：</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①提升了决策支撑服务能力。通过构建通用数据标准，借力大数据技术，归集整合市市场监管局、市住建委、市规自委、市统计局等相关部门掌握的楼宇类型、建筑面积、楼宇资质、租赁面积等商务楼宇相关信息，对全市商务楼宇的摸底排查，按照市统计局《关于&lt;北京市商务楼宇入驻情况调查方案&gt;的复函》（京统函[2020]60号）有关事项要求，截止2021年</w:t>
      </w:r>
      <w:r>
        <w:rPr>
          <w:rFonts w:ascii="仿宋" w:hAnsi="仿宋" w:eastAsia="仿宋"/>
          <w:color w:val="000000"/>
          <w:kern w:val="0"/>
          <w:sz w:val="28"/>
          <w:szCs w:val="28"/>
        </w:rPr>
        <w:t>2</w:t>
      </w:r>
      <w:r>
        <w:rPr>
          <w:rFonts w:hint="eastAsia" w:ascii="仿宋" w:hAnsi="仿宋" w:eastAsia="仿宋"/>
          <w:color w:val="000000"/>
          <w:kern w:val="0"/>
          <w:sz w:val="28"/>
          <w:szCs w:val="28"/>
        </w:rPr>
        <w:t>月底，累计采集商务楼宇</w:t>
      </w:r>
      <w:r>
        <w:rPr>
          <w:rFonts w:ascii="仿宋" w:hAnsi="仿宋" w:eastAsia="仿宋"/>
          <w:color w:val="000000"/>
          <w:kern w:val="0"/>
          <w:sz w:val="28"/>
          <w:szCs w:val="28"/>
        </w:rPr>
        <w:t>6169</w:t>
      </w:r>
      <w:r>
        <w:rPr>
          <w:rFonts w:hint="eastAsia" w:ascii="仿宋" w:hAnsi="仿宋" w:eastAsia="仿宋"/>
          <w:color w:val="000000"/>
          <w:kern w:val="0"/>
          <w:sz w:val="28"/>
          <w:szCs w:val="28"/>
        </w:rPr>
        <w:t>座，经营单位7452个，使用单位14</w:t>
      </w:r>
      <w:r>
        <w:rPr>
          <w:rFonts w:ascii="仿宋" w:hAnsi="仿宋" w:eastAsia="仿宋"/>
          <w:color w:val="000000"/>
          <w:kern w:val="0"/>
          <w:sz w:val="28"/>
          <w:szCs w:val="28"/>
        </w:rPr>
        <w:t>8037</w:t>
      </w:r>
      <w:r>
        <w:rPr>
          <w:rFonts w:hint="eastAsia" w:ascii="仿宋" w:hAnsi="仿宋" w:eastAsia="仿宋"/>
          <w:color w:val="000000"/>
          <w:kern w:val="0"/>
          <w:sz w:val="28"/>
          <w:szCs w:val="28"/>
        </w:rPr>
        <w:t>个形成全市商务楼宇基础库，并将全市企业按照地址进行匹配入楼，全面摸清了全市商务楼宇经济发展底数，为市、区、街乡镇、社区、楼宇的五级社会治理体系提供监管综合信息服务和大数据决策支持服务，有效提升了决策支撑服务能力。</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②辅助科学规划提升楼宇经济效益。依据系统对楼宇企业宏观分析结果，及时掌握区域楼宇经济的产业结构动态变化情况，为相关部门制定适合区域发展的科学规划方案、楼宇精准招商提供支撑，通过腾笼换鸟、产业集聚实现楼宇经济效益的整体提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③通过创新监管模式提升监管效能。充分利用大数据、机器学习等现代技术手段构建楼宇风险综合模型，结合楼宇和楼宇企业风险情况将楼宇风险分为高风险、中高风险、中风险、低风险四级，并提供主要风险识别和预警功能。同时构建了集中办公区、非法集资、旅行社无证照、纳税非正常户等风险识别模型，为各区和部门协同监管、联合执法、风险预警及社会共治提供大数据支持服务，逐步推动实现精准监管和智慧监管，提升监管效能。</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④创新服务应用助推企业发展。以楼宇大数据为基础，打造全方位的楼宇经济管理与服务策略，降低楼宇企业信息获取成本，助力楼宇企业价值链、产业链、创新链的提升。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具体成效体现在以下几方面工作：</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一是提供商务楼宇企业基础数据支持疫情期间企业复工复产工作。楼宇经济是集聚现代服务业与制造业企业总部的高级经济形态，推动商务楼宇企业复工复产对全市经济影响较大，但商务楼宇具有高集聚性、高辐射性、高流动性等特点，对疫情防控有更高要求。按照市复工复产防控组办公室《关于加快推进全市商务楼宇数据整合应用的函》要求，系统进行了针对性的数据对接比对，为开展复工复产调研及相关工作部署安排提供了基础数据，为有效做好疫情防控,有序推进企业复工复产工作提供了有力支撑。</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二是为“财源专班”拓展税源工作提供支撑。按照市财政局《关于楼宇系统共享数据需求的函》要求，依托系统采集到的楼宇入驻企业信息，通过开展数据清洗、比对、关联等处理，累计筛查涉及在京经营京外注册纳税企业2933户共享至市财源建设专班，为财源建设提供数据支撑。</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三是开展集中办公区企业注册情况分析，为研究“集群注册”特征提供支撑。为报告提供企业注册数量前20的注册地址名单以及所涉及的1</w:t>
      </w:r>
      <w:r>
        <w:rPr>
          <w:rFonts w:ascii="仿宋" w:hAnsi="仿宋" w:eastAsia="仿宋"/>
          <w:color w:val="000000"/>
          <w:kern w:val="0"/>
          <w:sz w:val="28"/>
          <w:szCs w:val="28"/>
        </w:rPr>
        <w:t>5.58</w:t>
      </w:r>
      <w:r>
        <w:rPr>
          <w:rFonts w:hint="eastAsia" w:ascii="仿宋" w:hAnsi="仿宋" w:eastAsia="仿宋"/>
          <w:color w:val="000000"/>
          <w:kern w:val="0"/>
          <w:sz w:val="28"/>
          <w:szCs w:val="28"/>
        </w:rPr>
        <w:t>万户企业名单等信息，为《“集群注册”助力营商环境提升》的研究提供数据支撑，通过深入分析城区和郊区“集群注册”特点，得出“城区主要为创新中心、郊区则为集中办公区”的分析结果。</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四是为“疏解整治促提升”专项行动提供支撑。按照北京市“疏解整治促提升”专项行动工作办公室有关工作要求，我局利用系统的楼宇概况及产业结构分析功能，协助东城、西城归集统计辖区内商务楼宇现状情况工作，为两区提供楼宇入驻企业数、产业功能分布情况、空置率数据，聚焦重点区域商务办公情况，为进一步研究疫情对商务楼宇发展的影响提供意见建议。</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五是聚焦解决市场监管重点难点问题。通过</w:t>
      </w:r>
      <w:r>
        <w:rPr>
          <w:rFonts w:ascii="仿宋" w:hAnsi="仿宋" w:eastAsia="仿宋"/>
          <w:color w:val="000000"/>
          <w:kern w:val="0"/>
          <w:sz w:val="28"/>
          <w:szCs w:val="28"/>
        </w:rPr>
        <w:t>聚焦</w:t>
      </w:r>
      <w:r>
        <w:rPr>
          <w:rFonts w:hint="eastAsia" w:ascii="仿宋" w:hAnsi="仿宋" w:eastAsia="仿宋"/>
          <w:color w:val="000000"/>
          <w:kern w:val="0"/>
          <w:sz w:val="28"/>
          <w:szCs w:val="28"/>
        </w:rPr>
        <w:t>企业失联、异地经营、楼宇经济分析以及风险</w:t>
      </w:r>
      <w:r>
        <w:rPr>
          <w:rFonts w:ascii="仿宋" w:hAnsi="仿宋" w:eastAsia="仿宋"/>
          <w:color w:val="000000"/>
          <w:kern w:val="0"/>
          <w:sz w:val="28"/>
          <w:szCs w:val="28"/>
        </w:rPr>
        <w:t>监测预警，增强监管靶向性；通过</w:t>
      </w:r>
      <w:r>
        <w:rPr>
          <w:rFonts w:hint="eastAsia" w:ascii="仿宋" w:hAnsi="仿宋" w:eastAsia="仿宋"/>
          <w:color w:val="000000"/>
          <w:kern w:val="0"/>
          <w:sz w:val="28"/>
          <w:szCs w:val="28"/>
        </w:rPr>
        <w:t>风险</w:t>
      </w:r>
      <w:r>
        <w:rPr>
          <w:rFonts w:ascii="仿宋" w:hAnsi="仿宋" w:eastAsia="仿宋"/>
          <w:color w:val="000000"/>
          <w:kern w:val="0"/>
          <w:sz w:val="28"/>
          <w:szCs w:val="28"/>
        </w:rPr>
        <w:t>预警，转变监管方式事后处理为事前发现；通过强化大数据应用</w:t>
      </w:r>
      <w:r>
        <w:rPr>
          <w:rFonts w:hint="eastAsia" w:ascii="仿宋" w:hAnsi="仿宋" w:eastAsia="仿宋"/>
          <w:color w:val="000000"/>
          <w:kern w:val="0"/>
          <w:sz w:val="28"/>
          <w:szCs w:val="28"/>
        </w:rPr>
        <w:t>，</w:t>
      </w:r>
      <w:r>
        <w:rPr>
          <w:rFonts w:ascii="仿宋" w:hAnsi="仿宋" w:eastAsia="仿宋"/>
          <w:color w:val="000000"/>
          <w:kern w:val="0"/>
          <w:sz w:val="28"/>
          <w:szCs w:val="28"/>
        </w:rPr>
        <w:t>为领导决策和部门协同监管、社会共治提供大数据信息支持服务</w:t>
      </w:r>
      <w:r>
        <w:rPr>
          <w:rFonts w:hint="eastAsia" w:ascii="仿宋" w:hAnsi="仿宋" w:eastAsia="仿宋"/>
          <w:color w:val="000000"/>
          <w:kern w:val="0"/>
          <w:sz w:val="28"/>
          <w:szCs w:val="28"/>
        </w:rPr>
        <w:t>；</w:t>
      </w:r>
      <w:r>
        <w:rPr>
          <w:rFonts w:ascii="仿宋" w:hAnsi="仿宋" w:eastAsia="仿宋"/>
          <w:color w:val="000000"/>
          <w:kern w:val="0"/>
          <w:sz w:val="28"/>
          <w:szCs w:val="28"/>
        </w:rPr>
        <w:t>通过掌握</w:t>
      </w:r>
      <w:r>
        <w:rPr>
          <w:rFonts w:hint="eastAsia" w:ascii="仿宋" w:hAnsi="仿宋" w:eastAsia="仿宋"/>
          <w:color w:val="000000"/>
          <w:kern w:val="0"/>
          <w:sz w:val="28"/>
          <w:szCs w:val="28"/>
        </w:rPr>
        <w:t>企业</w:t>
      </w:r>
      <w:r>
        <w:rPr>
          <w:rFonts w:ascii="仿宋" w:hAnsi="仿宋" w:eastAsia="仿宋"/>
          <w:color w:val="000000"/>
          <w:kern w:val="0"/>
          <w:sz w:val="28"/>
          <w:szCs w:val="28"/>
        </w:rPr>
        <w:t>的实际经营场所，</w:t>
      </w:r>
      <w:r>
        <w:rPr>
          <w:rFonts w:hint="eastAsia" w:ascii="仿宋" w:hAnsi="仿宋" w:eastAsia="仿宋"/>
          <w:color w:val="000000"/>
          <w:kern w:val="0"/>
          <w:sz w:val="28"/>
          <w:szCs w:val="28"/>
        </w:rPr>
        <w:t>助力提升年报公示率，在新冠疫情的不良影响下，2019年度北京地区企业年报公示率为92.25%，总体年报率为历史第二高。</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六是助力</w:t>
      </w:r>
      <w:r>
        <w:rPr>
          <w:rFonts w:ascii="仿宋" w:hAnsi="仿宋" w:eastAsia="仿宋"/>
          <w:color w:val="000000"/>
          <w:kern w:val="0"/>
          <w:sz w:val="28"/>
          <w:szCs w:val="28"/>
        </w:rPr>
        <w:t>更多的社会基层组织和人员参与社会</w:t>
      </w:r>
      <w:r>
        <w:rPr>
          <w:rFonts w:hint="eastAsia" w:ascii="仿宋" w:hAnsi="仿宋" w:eastAsia="仿宋"/>
          <w:color w:val="000000"/>
          <w:kern w:val="0"/>
          <w:sz w:val="28"/>
          <w:szCs w:val="28"/>
        </w:rPr>
        <w:t>共治。系统有机融入“街乡吹哨、部门报到”机制，发挥市、区、街道、社区、楼宇工作站的楼宇管理体系作用，结合大数据信用信息集成，为社区、楼宇工作站、物业等社会基层组织和人员提供更加便捷的web应用及移动应用，以提供楼宇智慧服务的方式来置换更多社会监管力量。通过搭建</w:t>
      </w:r>
      <w:r>
        <w:rPr>
          <w:rFonts w:ascii="仿宋" w:hAnsi="仿宋" w:eastAsia="仿宋"/>
          <w:color w:val="000000"/>
          <w:kern w:val="0"/>
          <w:sz w:val="28"/>
          <w:szCs w:val="28"/>
        </w:rPr>
        <w:t>横向面向政府各相关部门，纵向贯通市、区、街乡镇、社区、楼宇的五级社会治理体系</w:t>
      </w:r>
      <w:r>
        <w:rPr>
          <w:rFonts w:hint="eastAsia" w:ascii="仿宋" w:hAnsi="仿宋" w:eastAsia="仿宋"/>
          <w:color w:val="000000"/>
          <w:kern w:val="0"/>
          <w:sz w:val="28"/>
          <w:szCs w:val="28"/>
        </w:rPr>
        <w:t>，形成政府协同监管、物业（业主）配合、企业自律和公众监督的社会共治监管模式。</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同时，为市经信局提供了商务楼宇数据目录，丰富了市大数据平台资源，为各部门、各区商务楼宇相关信息的共享应用提供支持；为市水务局提供中心城区企事业单位及楼宇基础数据，助力中心城区水务监管；为市委统战部、市金融局提供空间地理信息技术和数据支撑，助力楼宇园区统战和金融监管工作；为东城区楼宇系统建设提供了二次开发接口，助力区域经济分析和招商引资；为丰台区非公党建工作开展提供地理信息底层数据支持。</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2.可持续影响</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系统作为我市新基础设施建设，以地理信息数据为基础，以“人、地、物、事”为主线，通过五码（手机号、身份证、企业统一信用代码、楼宇名称位置以及设备编码）关联，掌握了解全市商务楼宇及实际使用单位情况，加强商务楼宇管理和服务，通过实现宏观经济分析功能和风险监测预警功能，提供监管综合信息服务和大数据决策支持服务，辅助各部门商务楼宇相关决策，迈出了我市对商务楼宇精准和智慧管理的第一步。</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但项目未明确本系统楼宇覆盖面，未明确数据安全的保证措施、平台的维护和升级机制与手段，未明确未来数据的共享对于政府决策的支撑作用有哪些。即对于平台数据的深化、分析途径和内容呈现的不够充分。项目的可持续性的研究和分析不足。</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3.服务对象满意度</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系统验收完成后，市场监督管理局依据系统对不同部门工作的支撑情况分别对市经信局、市财政局、市金融局及各区分局等</w:t>
      </w:r>
      <w:r>
        <w:rPr>
          <w:rFonts w:ascii="仿宋" w:hAnsi="仿宋" w:eastAsia="仿宋"/>
          <w:color w:val="000000"/>
          <w:kern w:val="0"/>
          <w:sz w:val="28"/>
          <w:szCs w:val="28"/>
        </w:rPr>
        <w:t>1</w:t>
      </w:r>
      <w:r>
        <w:rPr>
          <w:rFonts w:hint="eastAsia" w:ascii="仿宋" w:hAnsi="仿宋" w:eastAsia="仿宋"/>
          <w:color w:val="000000"/>
          <w:kern w:val="0"/>
          <w:sz w:val="28"/>
          <w:szCs w:val="28"/>
        </w:rPr>
        <w:t>2个相关部门发出了系统用户使用意见函，收回有效调研函</w:t>
      </w:r>
      <w:r>
        <w:rPr>
          <w:rFonts w:ascii="仿宋" w:hAnsi="仿宋" w:eastAsia="仿宋"/>
          <w:color w:val="000000"/>
          <w:kern w:val="0"/>
          <w:sz w:val="28"/>
          <w:szCs w:val="28"/>
        </w:rPr>
        <w:t>1</w:t>
      </w:r>
      <w:r>
        <w:rPr>
          <w:rFonts w:hint="eastAsia" w:ascii="仿宋" w:hAnsi="仿宋" w:eastAsia="仿宋"/>
          <w:color w:val="000000"/>
          <w:kern w:val="0"/>
          <w:sz w:val="28"/>
          <w:szCs w:val="28"/>
        </w:rPr>
        <w:t>2份，反馈意见1</w:t>
      </w:r>
      <w:r>
        <w:rPr>
          <w:rFonts w:ascii="仿宋" w:hAnsi="仿宋" w:eastAsia="仿宋"/>
          <w:color w:val="000000"/>
          <w:kern w:val="0"/>
          <w:sz w:val="28"/>
          <w:szCs w:val="28"/>
        </w:rPr>
        <w:t>00%</w:t>
      </w:r>
      <w:r>
        <w:rPr>
          <w:rFonts w:hint="eastAsia" w:ascii="仿宋" w:hAnsi="仿宋" w:eastAsia="仿宋"/>
          <w:color w:val="000000"/>
          <w:kern w:val="0"/>
          <w:sz w:val="28"/>
          <w:szCs w:val="28"/>
        </w:rPr>
        <w:t>认为本系统较好的实现了原有的功能设计，试运行期间系统功能表现稳定，对相关工作有较强支撑，大于预期设定内部使用人员满意度≥90%的目标。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本项目未明确楼宇覆盖面，满意度调查12份，样本量较少，对于系统使用的反馈跟踪情况呈现的不够充分。</w:t>
      </w:r>
    </w:p>
    <w:p>
      <w:pPr>
        <w:pStyle w:val="2"/>
        <w:spacing w:beforeLines="50" w:afterLines="50"/>
        <w:ind w:left="0" w:firstLine="562"/>
        <w:jc w:val="left"/>
        <w:rPr>
          <w:rFonts w:ascii="仿宋" w:hAnsi="仿宋" w:eastAsia="仿宋"/>
          <w:color w:val="000000" w:themeColor="text1"/>
          <w:sz w:val="28"/>
          <w:szCs w:val="28"/>
        </w:rPr>
      </w:pPr>
      <w:bookmarkStart w:id="13" w:name="_Toc72315876"/>
      <w:r>
        <w:rPr>
          <w:rFonts w:hint="eastAsia" w:ascii="仿宋" w:hAnsi="仿宋" w:eastAsia="仿宋"/>
          <w:color w:val="000000" w:themeColor="text1"/>
          <w:sz w:val="28"/>
          <w:szCs w:val="28"/>
        </w:rPr>
        <w:t>五、主要经验及做法、存在的问题及原因分析</w:t>
      </w:r>
      <w:bookmarkEnd w:id="13"/>
    </w:p>
    <w:p>
      <w:pPr>
        <w:pStyle w:val="3"/>
        <w:spacing w:before="0" w:after="0" w:line="360" w:lineRule="auto"/>
        <w:ind w:firstLine="560" w:firstLineChars="200"/>
        <w:rPr>
          <w:rFonts w:ascii="仿宋" w:hAnsi="仿宋" w:eastAsia="仿宋"/>
          <w:kern w:val="0"/>
          <w:sz w:val="28"/>
          <w:szCs w:val="28"/>
        </w:rPr>
      </w:pPr>
      <w:bookmarkStart w:id="14" w:name="_Toc72315877"/>
      <w:r>
        <w:rPr>
          <w:rFonts w:hint="eastAsia" w:ascii="仿宋" w:hAnsi="仿宋" w:eastAsia="仿宋"/>
          <w:kern w:val="0"/>
          <w:sz w:val="28"/>
          <w:szCs w:val="28"/>
        </w:rPr>
        <w:t>（一）主要经验及做法</w:t>
      </w:r>
      <w:bookmarkEnd w:id="14"/>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1.形成系统内部运行闭环。</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系统全面监测我市商务楼宇企业经营活动的规律与特征，定位隐藏于数据资源背后的监管风险和违法违规线索，利用市场监管部门的业务反馈结果持续优化模型，形成数据整合、特征构建、风险研判、持续监测、结果输出的智慧监管系统自学习闭环过程。</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2.形成线上线下业务闭环。</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系统构建以“大数据技术+信用风险监管工作流程”为核心的市场监管业务流程闭环系统，在生成系统内部监测结果后，及时推送、驱动线下监管，同时再次将线下监管结果采集至平台，形成由监测到监管再到监测的全流程业务闭环。</w:t>
      </w:r>
    </w:p>
    <w:p>
      <w:pPr>
        <w:pStyle w:val="3"/>
        <w:spacing w:before="0" w:after="0" w:line="360" w:lineRule="auto"/>
        <w:ind w:firstLine="560" w:firstLineChars="200"/>
        <w:rPr>
          <w:rFonts w:ascii="仿宋" w:hAnsi="仿宋" w:eastAsia="仿宋"/>
          <w:kern w:val="0"/>
          <w:sz w:val="28"/>
          <w:szCs w:val="28"/>
        </w:rPr>
      </w:pPr>
      <w:bookmarkStart w:id="15" w:name="_Toc72315878"/>
      <w:r>
        <w:rPr>
          <w:rFonts w:hint="eastAsia" w:ascii="仿宋" w:hAnsi="仿宋" w:eastAsia="仿宋"/>
          <w:kern w:val="0"/>
          <w:sz w:val="28"/>
          <w:szCs w:val="28"/>
        </w:rPr>
        <w:t>（二）存在的问题</w:t>
      </w:r>
      <w:bookmarkEnd w:id="15"/>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1.顶层设计的充分性呈现的不够充分。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本项目是根据市政府的工作要求申报的，市政府要求“整体设计、分步实施”，单位制定了《北京市楼宇信息监测系统总体建设方案》，即本项目的投资3857.5万元的设计构想，但未见本市楼宇信息监测系统建设的整体规划或中长期计划，体现发展战略的顶层设计不够充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2.项目预算的准确性不足，财政评审的审减额大，审减率37.17%。</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项目投资概算金额3857.5万元，2019年11月26日经北京市财政局审定，项目投资预算为2423.8万元，审减1433.7万元，审减率37.17%，预算编制的准确性不足。</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3.绩效成果呈现的不够充分，项目的可持续性的研究和分析不足。</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如，项目未明确本系统楼宇覆盖面多大，未明确数据安全的保证措施、平台的维护和升级机制，未明确未来数据的共享对于实现“为楼宇经济分析决策提供有力支撑，为社会共治楼宇经济提供有力平台”的目标，研究、论证和阐述的不够充分。即对于平台数据的深化、分析途径、内容和绩效成果呈现得不够充分。项目的可持续性的研究和分析不足。</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4.满意度调查样本量少，使用情况反馈不够充分</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满意度调查提供了对相关委办局等使用单位的调查信息，认可度较高。但满意度调查12份，样本量少，对于系统使用的反馈跟踪情况呈现的不够充分，满意度调查还需要进一步加强。</w:t>
      </w:r>
    </w:p>
    <w:p>
      <w:pPr>
        <w:pStyle w:val="2"/>
        <w:spacing w:beforeLines="50" w:afterLines="50"/>
        <w:ind w:left="0" w:firstLine="562"/>
        <w:jc w:val="left"/>
        <w:rPr>
          <w:rFonts w:ascii="仿宋" w:hAnsi="仿宋" w:eastAsia="仿宋"/>
          <w:color w:val="000000" w:themeColor="text1"/>
          <w:sz w:val="28"/>
          <w:szCs w:val="28"/>
        </w:rPr>
      </w:pPr>
      <w:bookmarkStart w:id="16" w:name="_Toc72315879"/>
      <w:r>
        <w:rPr>
          <w:rFonts w:hint="eastAsia" w:ascii="仿宋" w:hAnsi="仿宋" w:eastAsia="仿宋"/>
          <w:color w:val="000000" w:themeColor="text1"/>
          <w:sz w:val="28"/>
          <w:szCs w:val="28"/>
        </w:rPr>
        <w:t>六、有关建议</w:t>
      </w:r>
      <w:bookmarkEnd w:id="16"/>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1.加强预算管理，提高预算编制的准确性。</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2.进一步深化和研究未来楼宇系统可持续发展和服务的战略定位和目标，实现财政资金投入的终极目标。</w:t>
      </w: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3.重视满意度调查和分析，建立系统使用的跟踪反馈机制，提高项目使用效果和效益。</w:t>
      </w:r>
    </w:p>
    <w:p>
      <w:pPr>
        <w:pStyle w:val="2"/>
        <w:spacing w:beforeLines="50" w:afterLines="50"/>
        <w:ind w:left="0" w:firstLine="562"/>
        <w:jc w:val="left"/>
        <w:rPr>
          <w:rFonts w:ascii="仿宋" w:hAnsi="仿宋" w:eastAsia="仿宋"/>
          <w:color w:val="000000" w:themeColor="text1"/>
          <w:sz w:val="28"/>
          <w:szCs w:val="28"/>
        </w:rPr>
      </w:pPr>
      <w:bookmarkStart w:id="17" w:name="_Toc72315880"/>
      <w:r>
        <w:rPr>
          <w:rFonts w:hint="eastAsia" w:ascii="仿宋" w:hAnsi="仿宋" w:eastAsia="仿宋"/>
          <w:color w:val="000000" w:themeColor="text1"/>
          <w:sz w:val="28"/>
          <w:szCs w:val="28"/>
        </w:rPr>
        <w:t>七、其他需要说明的问题</w:t>
      </w:r>
      <w:bookmarkEnd w:id="17"/>
      <w:bookmarkStart w:id="18" w:name="_Toc49427027"/>
    </w:p>
    <w:p>
      <w:pPr>
        <w:spacing w:line="600" w:lineRule="exact"/>
        <w:ind w:firstLine="560" w:firstLineChars="200"/>
        <w:rPr>
          <w:rFonts w:ascii="仿宋" w:hAnsi="仿宋" w:eastAsia="仿宋"/>
          <w:b/>
          <w:color w:val="000000"/>
          <w:kern w:val="0"/>
          <w:sz w:val="28"/>
          <w:szCs w:val="28"/>
        </w:rPr>
      </w:pPr>
      <w:r>
        <w:rPr>
          <w:rFonts w:hint="eastAsia" w:ascii="仿宋" w:hAnsi="仿宋" w:eastAsia="仿宋"/>
          <w:snapToGrid w:val="0"/>
          <w:kern w:val="0"/>
          <w:sz w:val="28"/>
          <w:szCs w:val="28"/>
        </w:rPr>
        <w:t>无。</w:t>
      </w:r>
    </w:p>
    <w:p>
      <w:pPr>
        <w:spacing w:line="560" w:lineRule="exact"/>
        <w:ind w:firstLine="1540" w:firstLineChars="550"/>
        <w:rPr>
          <w:rFonts w:ascii="仿宋" w:hAnsi="仿宋" w:eastAsia="仿宋"/>
          <w:snapToGrid w:val="0"/>
          <w:kern w:val="0"/>
          <w:sz w:val="28"/>
          <w:szCs w:val="28"/>
        </w:rPr>
      </w:pPr>
    </w:p>
    <w:p>
      <w:pPr>
        <w:spacing w:line="560" w:lineRule="exact"/>
        <w:ind w:firstLine="1540" w:firstLineChars="550"/>
        <w:rPr>
          <w:rFonts w:ascii="仿宋" w:hAnsi="仿宋" w:eastAsia="仿宋"/>
          <w:snapToGrid w:val="0"/>
          <w:kern w:val="0"/>
          <w:sz w:val="28"/>
          <w:szCs w:val="28"/>
        </w:rPr>
      </w:pPr>
    </w:p>
    <w:p>
      <w:pPr>
        <w:spacing w:line="560" w:lineRule="exact"/>
        <w:ind w:firstLine="1540" w:firstLineChars="550"/>
        <w:rPr>
          <w:rFonts w:ascii="仿宋" w:hAnsi="仿宋" w:eastAsia="仿宋"/>
          <w:snapToGrid w:val="0"/>
          <w:kern w:val="0"/>
          <w:sz w:val="28"/>
          <w:szCs w:val="28"/>
        </w:rPr>
      </w:pPr>
    </w:p>
    <w:p>
      <w:pPr>
        <w:spacing w:line="360" w:lineRule="auto"/>
        <w:ind w:firstLine="560" w:firstLineChars="200"/>
        <w:rPr>
          <w:rFonts w:ascii="仿宋" w:hAnsi="仿宋" w:eastAsia="仿宋"/>
          <w:color w:val="000000"/>
          <w:kern w:val="0"/>
          <w:sz w:val="28"/>
          <w:szCs w:val="28"/>
        </w:rPr>
      </w:pPr>
      <w:r>
        <w:rPr>
          <w:rFonts w:hint="eastAsia" w:ascii="仿宋" w:hAnsi="仿宋" w:eastAsia="仿宋"/>
          <w:color w:val="000000"/>
          <w:kern w:val="0"/>
          <w:sz w:val="28"/>
          <w:szCs w:val="28"/>
        </w:rPr>
        <w:t>附件：</w:t>
      </w:r>
      <w:bookmarkEnd w:id="18"/>
      <w:r>
        <w:rPr>
          <w:rFonts w:hint="eastAsia" w:ascii="仿宋" w:hAnsi="仿宋" w:eastAsia="仿宋"/>
          <w:color w:val="000000"/>
          <w:kern w:val="0"/>
          <w:sz w:val="28"/>
          <w:szCs w:val="28"/>
        </w:rPr>
        <w:t>评分表</w:t>
      </w: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ind w:firstLine="560" w:firstLineChars="200"/>
        <w:rPr>
          <w:rFonts w:ascii="仿宋" w:hAnsi="仿宋" w:eastAsia="仿宋"/>
          <w:color w:val="000000"/>
          <w:kern w:val="0"/>
          <w:sz w:val="28"/>
          <w:szCs w:val="28"/>
        </w:rPr>
      </w:pPr>
    </w:p>
    <w:p>
      <w:pPr>
        <w:spacing w:line="360" w:lineRule="auto"/>
        <w:rPr>
          <w:rFonts w:ascii="仿宋" w:hAnsi="仿宋" w:eastAsia="仿宋"/>
          <w:color w:val="000000"/>
          <w:kern w:val="0"/>
          <w:sz w:val="28"/>
          <w:szCs w:val="28"/>
        </w:rPr>
      </w:pPr>
      <w:r>
        <w:rPr>
          <w:rFonts w:hint="eastAsia" w:ascii="仿宋" w:hAnsi="仿宋" w:eastAsia="仿宋"/>
          <w:color w:val="000000"/>
          <w:kern w:val="0"/>
          <w:sz w:val="28"/>
          <w:szCs w:val="28"/>
        </w:rPr>
        <w:t>附件：</w:t>
      </w:r>
    </w:p>
    <w:p>
      <w:pPr>
        <w:spacing w:line="360" w:lineRule="auto"/>
        <w:jc w:val="center"/>
        <w:rPr>
          <w:rFonts w:ascii="仿宋" w:hAnsi="仿宋" w:eastAsia="仿宋"/>
          <w:color w:val="000000"/>
          <w:kern w:val="0"/>
          <w:sz w:val="28"/>
          <w:szCs w:val="28"/>
        </w:rPr>
      </w:pPr>
      <w:r>
        <w:rPr>
          <w:rFonts w:hint="eastAsia" w:ascii="仿宋" w:hAnsi="仿宋" w:eastAsia="仿宋"/>
          <w:color w:val="000000"/>
          <w:kern w:val="0"/>
          <w:sz w:val="28"/>
          <w:szCs w:val="28"/>
        </w:rPr>
        <w:t>评分表</w:t>
      </w:r>
    </w:p>
    <w:p>
      <w:pPr>
        <w:spacing w:line="360" w:lineRule="auto"/>
        <w:rPr>
          <w:rFonts w:ascii="宋体" w:hAnsi="宋体"/>
          <w:b/>
        </w:rPr>
      </w:pPr>
      <w:r>
        <w:drawing>
          <wp:inline distT="0" distB="0" distL="0" distR="0">
            <wp:extent cx="5759450" cy="739711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4" cstate="print"/>
                    <a:srcRect/>
                    <a:stretch>
                      <a:fillRect/>
                    </a:stretch>
                  </pic:blipFill>
                  <pic:spPr>
                    <a:xfrm>
                      <a:off x="0" y="0"/>
                      <a:ext cx="5759450" cy="7397245"/>
                    </a:xfrm>
                    <a:prstGeom prst="rect">
                      <a:avLst/>
                    </a:prstGeom>
                    <a:noFill/>
                    <a:ln w="9525">
                      <a:noFill/>
                      <a:miter lim="800000"/>
                      <a:headEnd/>
                      <a:tailEnd/>
                    </a:ln>
                  </pic:spPr>
                </pic:pic>
              </a:graphicData>
            </a:graphic>
          </wp:inline>
        </w:drawing>
      </w:r>
    </w:p>
    <w:p>
      <w:pPr>
        <w:spacing w:line="360" w:lineRule="auto"/>
        <w:ind w:firstLine="1050" w:firstLineChars="500"/>
        <w:rPr>
          <w:rFonts w:ascii="宋体" w:hAnsi="宋体"/>
          <w:b/>
        </w:rPr>
      </w:pPr>
    </w:p>
    <w:sectPr>
      <w:pgSz w:w="11906" w:h="16838"/>
      <w:pgMar w:top="1418" w:right="1418" w:bottom="851" w:left="1418"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p>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p>
    <w:pPr>
      <w:pStyle w:val="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889349"/>
      <w:docPartObj>
        <w:docPartGallery w:val="AutoText"/>
      </w:docPartObj>
    </w:sdtPr>
    <w:sdtContent>
      <w:p>
        <w:pPr>
          <w:pStyle w:val="6"/>
          <w:jc w:val="center"/>
        </w:pPr>
        <w:r>
          <w:fldChar w:fldCharType="begin"/>
        </w:r>
        <w:r>
          <w:instrText xml:space="preserve"> PAGE   \* MERGEFORMAT </w:instrText>
        </w:r>
        <w:r>
          <w:fldChar w:fldCharType="separate"/>
        </w:r>
        <w:r>
          <w:rPr>
            <w:lang w:val="zh-CN"/>
          </w:rPr>
          <w:t>11</w:t>
        </w:r>
        <w:r>
          <w:rPr>
            <w:lang w:val="zh-CN"/>
          </w:rPr>
          <w:fldChar w:fldCharType="end"/>
        </w:r>
      </w:p>
    </w:sdtContent>
  </w:sdt>
  <w:p>
    <w:pPr>
      <w:pStyle w:val="6"/>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2VlYzRlZjMyMmFmMGQxNDVjYTMxOWMzYTFjZTEzOWYifQ=="/>
  </w:docVars>
  <w:rsids>
    <w:rsidRoot w:val="00EB453D"/>
    <w:rsid w:val="000214D8"/>
    <w:rsid w:val="0007456F"/>
    <w:rsid w:val="00085738"/>
    <w:rsid w:val="000D007C"/>
    <w:rsid w:val="000D0B36"/>
    <w:rsid w:val="000D4F80"/>
    <w:rsid w:val="000E0B63"/>
    <w:rsid w:val="00104133"/>
    <w:rsid w:val="00107E21"/>
    <w:rsid w:val="001370C6"/>
    <w:rsid w:val="001423ED"/>
    <w:rsid w:val="001B0965"/>
    <w:rsid w:val="001B77F3"/>
    <w:rsid w:val="001E33B1"/>
    <w:rsid w:val="001E6367"/>
    <w:rsid w:val="001F242A"/>
    <w:rsid w:val="00221F2C"/>
    <w:rsid w:val="0027794C"/>
    <w:rsid w:val="002A4BDD"/>
    <w:rsid w:val="002C6E32"/>
    <w:rsid w:val="002F05E9"/>
    <w:rsid w:val="002F7ADF"/>
    <w:rsid w:val="003406B1"/>
    <w:rsid w:val="00360644"/>
    <w:rsid w:val="0038095A"/>
    <w:rsid w:val="003C6FF2"/>
    <w:rsid w:val="003E67A3"/>
    <w:rsid w:val="003F2921"/>
    <w:rsid w:val="003F5824"/>
    <w:rsid w:val="004041ED"/>
    <w:rsid w:val="00435166"/>
    <w:rsid w:val="004A58BE"/>
    <w:rsid w:val="004C20A8"/>
    <w:rsid w:val="004E18CC"/>
    <w:rsid w:val="004F3911"/>
    <w:rsid w:val="00533E55"/>
    <w:rsid w:val="00534839"/>
    <w:rsid w:val="00537494"/>
    <w:rsid w:val="00540CB4"/>
    <w:rsid w:val="00543B5B"/>
    <w:rsid w:val="00552FD3"/>
    <w:rsid w:val="00562927"/>
    <w:rsid w:val="00590ABF"/>
    <w:rsid w:val="005923FD"/>
    <w:rsid w:val="00596725"/>
    <w:rsid w:val="00596A5E"/>
    <w:rsid w:val="005B4A09"/>
    <w:rsid w:val="005B4EE6"/>
    <w:rsid w:val="005D204A"/>
    <w:rsid w:val="005E587D"/>
    <w:rsid w:val="005E784B"/>
    <w:rsid w:val="005F0437"/>
    <w:rsid w:val="00624F9A"/>
    <w:rsid w:val="00670508"/>
    <w:rsid w:val="00671550"/>
    <w:rsid w:val="006A0876"/>
    <w:rsid w:val="006F1662"/>
    <w:rsid w:val="007230B7"/>
    <w:rsid w:val="00742E4C"/>
    <w:rsid w:val="0075538C"/>
    <w:rsid w:val="00756A6C"/>
    <w:rsid w:val="007630C9"/>
    <w:rsid w:val="00770369"/>
    <w:rsid w:val="00782E68"/>
    <w:rsid w:val="007930EB"/>
    <w:rsid w:val="00793407"/>
    <w:rsid w:val="007B1C7C"/>
    <w:rsid w:val="007B46EE"/>
    <w:rsid w:val="007F1057"/>
    <w:rsid w:val="007F2939"/>
    <w:rsid w:val="007F471F"/>
    <w:rsid w:val="00803036"/>
    <w:rsid w:val="00812C68"/>
    <w:rsid w:val="00826896"/>
    <w:rsid w:val="00865223"/>
    <w:rsid w:val="008826BC"/>
    <w:rsid w:val="00887059"/>
    <w:rsid w:val="008A76A7"/>
    <w:rsid w:val="0090271D"/>
    <w:rsid w:val="00911CD6"/>
    <w:rsid w:val="009124CB"/>
    <w:rsid w:val="00914E39"/>
    <w:rsid w:val="00920279"/>
    <w:rsid w:val="00947A2D"/>
    <w:rsid w:val="00965CA9"/>
    <w:rsid w:val="009663B2"/>
    <w:rsid w:val="00970C96"/>
    <w:rsid w:val="00970D35"/>
    <w:rsid w:val="00973E93"/>
    <w:rsid w:val="0097761C"/>
    <w:rsid w:val="00990286"/>
    <w:rsid w:val="009A212B"/>
    <w:rsid w:val="009B5A78"/>
    <w:rsid w:val="009D1506"/>
    <w:rsid w:val="009E169B"/>
    <w:rsid w:val="009E5BE9"/>
    <w:rsid w:val="00A22428"/>
    <w:rsid w:val="00A47C9A"/>
    <w:rsid w:val="00A56F87"/>
    <w:rsid w:val="00A64170"/>
    <w:rsid w:val="00A76BAC"/>
    <w:rsid w:val="00A76E90"/>
    <w:rsid w:val="00A80929"/>
    <w:rsid w:val="00AA4E17"/>
    <w:rsid w:val="00AB3118"/>
    <w:rsid w:val="00AD358E"/>
    <w:rsid w:val="00AE1070"/>
    <w:rsid w:val="00AE1515"/>
    <w:rsid w:val="00AF6079"/>
    <w:rsid w:val="00B3621E"/>
    <w:rsid w:val="00B505B9"/>
    <w:rsid w:val="00B532F0"/>
    <w:rsid w:val="00BB7821"/>
    <w:rsid w:val="00BC6428"/>
    <w:rsid w:val="00BF307B"/>
    <w:rsid w:val="00C13936"/>
    <w:rsid w:val="00C233AA"/>
    <w:rsid w:val="00C36CCA"/>
    <w:rsid w:val="00C46D81"/>
    <w:rsid w:val="00CA0F82"/>
    <w:rsid w:val="00CB3BB8"/>
    <w:rsid w:val="00CC210A"/>
    <w:rsid w:val="00D10EBD"/>
    <w:rsid w:val="00D34EF9"/>
    <w:rsid w:val="00D74DAF"/>
    <w:rsid w:val="00D83E4B"/>
    <w:rsid w:val="00DD1338"/>
    <w:rsid w:val="00DD618B"/>
    <w:rsid w:val="00DE53D3"/>
    <w:rsid w:val="00E0461E"/>
    <w:rsid w:val="00E82D25"/>
    <w:rsid w:val="00E8601F"/>
    <w:rsid w:val="00EA5424"/>
    <w:rsid w:val="00EA665E"/>
    <w:rsid w:val="00EB453D"/>
    <w:rsid w:val="00EE054E"/>
    <w:rsid w:val="00EE385D"/>
    <w:rsid w:val="00F04A3B"/>
    <w:rsid w:val="00F30C06"/>
    <w:rsid w:val="00F34696"/>
    <w:rsid w:val="00F45C93"/>
    <w:rsid w:val="00F56B55"/>
    <w:rsid w:val="00F9161A"/>
    <w:rsid w:val="00F948E5"/>
    <w:rsid w:val="00FA29F3"/>
    <w:rsid w:val="00FA6996"/>
    <w:rsid w:val="00FB18AC"/>
    <w:rsid w:val="00FE3A91"/>
    <w:rsid w:val="00FF34F6"/>
    <w:rsid w:val="57E33F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39" w:semiHidden="0" w:name="toc 1"/>
    <w:lsdException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0"/>
    <w:qFormat/>
    <w:uiPriority w:val="0"/>
    <w:pPr>
      <w:spacing w:line="360" w:lineRule="auto"/>
      <w:ind w:left="641" w:firstLine="643" w:firstLineChars="200"/>
      <w:outlineLvl w:val="0"/>
    </w:pPr>
    <w:rPr>
      <w:rFonts w:ascii="宋体" w:hAnsi="宋体"/>
      <w:b/>
      <w:bCs/>
      <w:snapToGrid w:val="0"/>
      <w:color w:val="FF0000"/>
      <w:kern w:val="0"/>
      <w:sz w:val="32"/>
      <w:szCs w:val="32"/>
    </w:rPr>
  </w:style>
  <w:style w:type="paragraph" w:styleId="3">
    <w:name w:val="heading 2"/>
    <w:basedOn w:val="1"/>
    <w:next w:val="1"/>
    <w:link w:val="2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Date"/>
    <w:basedOn w:val="1"/>
    <w:next w:val="1"/>
    <w:link w:val="21"/>
    <w:semiHidden/>
    <w:unhideWhenUsed/>
    <w:uiPriority w:val="99"/>
    <w:pPr>
      <w:ind w:left="100" w:leftChars="2500"/>
    </w:pPr>
  </w:style>
  <w:style w:type="paragraph" w:styleId="5">
    <w:name w:val="Balloon Text"/>
    <w:basedOn w:val="1"/>
    <w:link w:val="18"/>
    <w:semiHidden/>
    <w:unhideWhenUsed/>
    <w:uiPriority w:val="99"/>
    <w:rPr>
      <w:sz w:val="18"/>
      <w:szCs w:val="18"/>
    </w:rPr>
  </w:style>
  <w:style w:type="paragraph" w:styleId="6">
    <w:name w:val="footer"/>
    <w:basedOn w:val="1"/>
    <w:link w:val="15"/>
    <w:unhideWhenUsed/>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7">
    <w:name w:val="header"/>
    <w:basedOn w:val="1"/>
    <w:link w:val="14"/>
    <w:semiHidden/>
    <w:unhideWhenUsed/>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8">
    <w:name w:val="toc 1"/>
    <w:basedOn w:val="1"/>
    <w:next w:val="1"/>
    <w:link w:val="19"/>
    <w:uiPriority w:val="39"/>
    <w:pPr>
      <w:tabs>
        <w:tab w:val="right" w:leader="dot" w:pos="8302"/>
      </w:tabs>
      <w:spacing w:line="500" w:lineRule="exact"/>
      <w:ind w:left="567"/>
      <w:jc w:val="left"/>
    </w:pPr>
    <w:rPr>
      <w:rFonts w:ascii="黑体" w:eastAsia="黑体"/>
      <w:sz w:val="28"/>
      <w:szCs w:val="22"/>
    </w:rPr>
  </w:style>
  <w:style w:type="paragraph" w:styleId="9">
    <w:name w:val="toc 2"/>
    <w:basedOn w:val="1"/>
    <w:next w:val="1"/>
    <w:uiPriority w:val="39"/>
    <w:pPr>
      <w:spacing w:line="500" w:lineRule="exact"/>
      <w:ind w:left="420" w:leftChars="200" w:firstLine="200" w:firstLineChars="200"/>
    </w:pPr>
    <w:rPr>
      <w:rFonts w:eastAsia="仿宋_GB2312"/>
      <w:sz w:val="28"/>
      <w:szCs w:val="22"/>
    </w:rPr>
  </w:style>
  <w:style w:type="paragraph" w:styleId="10">
    <w:name w:val="Normal (Web)"/>
    <w:basedOn w:val="1"/>
    <w:unhideWhenUsed/>
    <w:uiPriority w:val="0"/>
    <w:pPr>
      <w:widowControl/>
      <w:spacing w:before="100" w:beforeAutospacing="1" w:after="100" w:afterAutospacing="1"/>
      <w:jc w:val="left"/>
    </w:pPr>
    <w:rPr>
      <w:rFonts w:ascii="宋体" w:hAnsi="宋体" w:cs="宋体"/>
      <w:kern w:val="0"/>
      <w:sz w:val="24"/>
      <w:szCs w:val="24"/>
    </w:rPr>
  </w:style>
  <w:style w:type="character" w:styleId="13">
    <w:name w:val="Hyperlink"/>
    <w:uiPriority w:val="99"/>
    <w:rPr>
      <w:rFonts w:cs="Times New Roman"/>
      <w:color w:val="0000FF"/>
      <w:u w:val="single"/>
    </w:rPr>
  </w:style>
  <w:style w:type="character" w:customStyle="1" w:styleId="14">
    <w:name w:val="页眉 Char"/>
    <w:basedOn w:val="12"/>
    <w:link w:val="7"/>
    <w:semiHidden/>
    <w:uiPriority w:val="99"/>
    <w:rPr>
      <w:sz w:val="18"/>
      <w:szCs w:val="18"/>
    </w:rPr>
  </w:style>
  <w:style w:type="character" w:customStyle="1" w:styleId="15">
    <w:name w:val="页脚 Char"/>
    <w:basedOn w:val="12"/>
    <w:link w:val="6"/>
    <w:uiPriority w:val="99"/>
    <w:rPr>
      <w:sz w:val="18"/>
      <w:szCs w:val="18"/>
    </w:rPr>
  </w:style>
  <w:style w:type="paragraph" w:customStyle="1" w:styleId="16">
    <w:name w:val="列出段落1"/>
    <w:basedOn w:val="1"/>
    <w:qFormat/>
    <w:uiPriority w:val="0"/>
    <w:pPr>
      <w:ind w:firstLine="420" w:firstLineChars="200"/>
    </w:pPr>
    <w:rPr>
      <w:rFonts w:ascii="Calibri" w:hAnsi="Calibri" w:cs="黑体"/>
      <w:szCs w:val="22"/>
    </w:rPr>
  </w:style>
  <w:style w:type="paragraph" w:styleId="17">
    <w:name w:val="List Paragraph"/>
    <w:basedOn w:val="1"/>
    <w:qFormat/>
    <w:uiPriority w:val="34"/>
    <w:pPr>
      <w:ind w:firstLine="420" w:firstLineChars="200"/>
    </w:pPr>
  </w:style>
  <w:style w:type="character" w:customStyle="1" w:styleId="18">
    <w:name w:val="批注框文本 Char"/>
    <w:basedOn w:val="12"/>
    <w:link w:val="5"/>
    <w:semiHidden/>
    <w:uiPriority w:val="99"/>
    <w:rPr>
      <w:rFonts w:ascii="Times New Roman" w:hAnsi="Times New Roman" w:eastAsia="宋体" w:cs="Times New Roman"/>
      <w:sz w:val="18"/>
      <w:szCs w:val="18"/>
    </w:rPr>
  </w:style>
  <w:style w:type="character" w:customStyle="1" w:styleId="19">
    <w:name w:val="目录 1 Char"/>
    <w:link w:val="8"/>
    <w:locked/>
    <w:uiPriority w:val="99"/>
    <w:rPr>
      <w:rFonts w:ascii="黑体" w:hAnsi="Times New Roman" w:eastAsia="黑体" w:cs="Times New Roman"/>
      <w:sz w:val="28"/>
      <w:lang w:val="en-US" w:eastAsia="zh-CN"/>
    </w:rPr>
  </w:style>
  <w:style w:type="character" w:customStyle="1" w:styleId="20">
    <w:name w:val="标题 1 Char"/>
    <w:basedOn w:val="12"/>
    <w:link w:val="2"/>
    <w:uiPriority w:val="0"/>
    <w:rPr>
      <w:rFonts w:ascii="宋体" w:hAnsi="宋体" w:eastAsia="宋体" w:cs="Times New Roman"/>
      <w:b/>
      <w:bCs/>
      <w:snapToGrid w:val="0"/>
      <w:color w:val="FF0000"/>
      <w:kern w:val="0"/>
      <w:sz w:val="32"/>
      <w:szCs w:val="32"/>
    </w:rPr>
  </w:style>
  <w:style w:type="character" w:customStyle="1" w:styleId="21">
    <w:name w:val="日期 Char"/>
    <w:basedOn w:val="12"/>
    <w:link w:val="4"/>
    <w:semiHidden/>
    <w:uiPriority w:val="99"/>
    <w:rPr>
      <w:rFonts w:ascii="Times New Roman" w:hAnsi="Times New Roman" w:eastAsia="宋体" w:cs="Times New Roman"/>
      <w:szCs w:val="21"/>
    </w:rPr>
  </w:style>
  <w:style w:type="character" w:customStyle="1" w:styleId="22">
    <w:name w:val="标题 2 Char"/>
    <w:basedOn w:val="12"/>
    <w:link w:val="3"/>
    <w:uiPriority w:val="9"/>
    <w:rPr>
      <w:rFonts w:asciiTheme="majorHAnsi" w:hAnsiTheme="majorHAnsi" w:eastAsiaTheme="majorEastAsia" w:cstheme="majorBidi"/>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customXml" Target="../customXml/item1.xml"/><Relationship Id="rId14" Type="http://schemas.openxmlformats.org/officeDocument/2006/relationships/image" Target="media/image7.emf"/><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2050"/>
    <customShpInfo spid="_x0000_s2051"/>
  </customShpExts>
</s:customData>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F1D5CB3-1FC1-481B-81B4-7A7313DFD222}">
  <ds:schemaRefs/>
</ds:datastoreItem>
</file>

<file path=docProps/app.xml><?xml version="1.0" encoding="utf-8"?>
<Properties xmlns="http://schemas.openxmlformats.org/officeDocument/2006/extended-properties" xmlns:vt="http://schemas.openxmlformats.org/officeDocument/2006/docPropsVTypes">
  <Template>Normal.dotm</Template>
  <Pages>29</Pages>
  <Words>2559</Words>
  <Characters>14589</Characters>
  <Lines>121</Lines>
  <Paragraphs>34</Paragraphs>
  <TotalTime>1158</TotalTime>
  <ScaleCrop>false</ScaleCrop>
  <LinksUpToDate>false</LinksUpToDate>
  <CharactersWithSpaces>17114</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2021-04-24T04:39:00Z</dcterms:created>
  <dc:creator>8613671100927</dc:creator>
  <cp:lastModifiedBy>小杜儿～</cp:lastModifiedBy>
  <dcterms:modified xsi:type="dcterms:W3CDTF">2023-11-17T06:40:52Z</dcterms:modified>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EF141A6B582B4BAE9A69BD05766FCE6B_12</vt:lpwstr>
  </property>
</Properties>
</file>