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1</w:t>
      </w:r>
    </w:p>
    <w:p>
      <w:pPr>
        <w:pStyle w:val="3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能力验证“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硬质泡沫塑料压缩性能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测定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4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压缩强度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相对形变为10%时的压缩应力</w:t>
            </w: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4"/>
                <w:szCs w:val="24"/>
                <w:highlight w:val="none"/>
              </w:rPr>
              <w:t>GB/T 8813-2020《硬质泡沫塑料 压缩性能的测定》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等线 Light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D5156"/>
    <w:rsid w:val="02717214"/>
    <w:rsid w:val="0F2120EC"/>
    <w:rsid w:val="24E74194"/>
    <w:rsid w:val="55652F64"/>
    <w:rsid w:val="6D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2025-07-10T08:20:00Z</dcterms:created>
  <dc:creator> 祺</dc:creator>
  <cp:lastModifiedBy> 祺</cp:lastModifiedBy>
  <dcterms:modified xsi:type="dcterms:W3CDTF">2025-07-10T08:24:24Z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