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经营者集中简易案件公示表</w:t>
      </w:r>
    </w:p>
    <w:tbl>
      <w:tblPr>
        <w:tblStyle w:val="6"/>
        <w:tblW w:w="89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488"/>
        <w:gridCol w:w="5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7" w:type="dxa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 w:eastAsiaTheme="minorEastAsia"/>
                <w:bCs/>
                <w:color w:val="000000"/>
                <w:lang w:val="en-US"/>
              </w:rPr>
            </w:pPr>
            <w:r>
              <w:rPr>
                <w:rFonts w:cs="Times New Roman" w:eastAsiaTheme="minorEastAsia"/>
                <w:bCs/>
                <w:color w:val="000000"/>
              </w:rPr>
              <w:t>案件名称</w:t>
            </w:r>
          </w:p>
        </w:tc>
        <w:tc>
          <w:tcPr>
            <w:tcW w:w="7135" w:type="dxa"/>
            <w:gridSpan w:val="2"/>
            <w:vAlign w:val="center"/>
          </w:tcPr>
          <w:p>
            <w:pPr>
              <w:adjustRightInd w:val="0"/>
              <w:snapToGrid w:val="0"/>
              <w:rPr>
                <w:bCs/>
                <w:color w:val="000000"/>
                <w:sz w:val="24"/>
              </w:rPr>
            </w:pPr>
            <w:r>
              <w:rPr>
                <w:kern w:val="0"/>
                <w:sz w:val="24"/>
              </w:rPr>
              <w:t>国风投创新私募基金管理有限公司与浙能电力股权投资（杭州）有限公司等经营者新设合营企业案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97" w:type="dxa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 w:eastAsiaTheme="minorEastAsia"/>
                <w:bCs/>
                <w:color w:val="000000"/>
                <w:lang w:val="en-US" w:eastAsia="zh-CN"/>
              </w:rPr>
            </w:pPr>
            <w:r>
              <w:rPr>
                <w:rFonts w:cs="Times New Roman" w:eastAsiaTheme="minorEastAsia"/>
                <w:bCs/>
                <w:color w:val="000000"/>
                <w:lang w:eastAsia="zh-CN"/>
              </w:rPr>
              <w:t>交易概况</w:t>
            </w:r>
          </w:p>
        </w:tc>
        <w:tc>
          <w:tcPr>
            <w:tcW w:w="7135" w:type="dxa"/>
            <w:gridSpan w:val="2"/>
            <w:vAlign w:val="center"/>
          </w:tcPr>
          <w:p>
            <w:pPr>
              <w:pStyle w:val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国风投创新私募基金管理有限公司（“</w:t>
            </w:r>
            <w:r>
              <w:rPr>
                <w:rFonts w:ascii="Times New Roman" w:hAnsi="Times New Roman" w:cs="Times New Roman"/>
                <w:b/>
              </w:rPr>
              <w:t>国风投管理公司</w:t>
            </w:r>
            <w:r>
              <w:rPr>
                <w:rFonts w:ascii="Times New Roman" w:hAnsi="Times New Roman" w:cs="Times New Roman"/>
              </w:rPr>
              <w:t>”）、浙能电力股权投资（杭州）有限公司（“</w:t>
            </w:r>
            <w:r>
              <w:rPr>
                <w:rFonts w:ascii="Times New Roman" w:hAnsi="Times New Roman" w:cs="Times New Roman"/>
                <w:b/>
              </w:rPr>
              <w:t>浙能投资</w:t>
            </w:r>
            <w:r>
              <w:rPr>
                <w:rFonts w:ascii="Times New Roman" w:hAnsi="Times New Roman" w:cs="Times New Roman"/>
              </w:rPr>
              <w:t>”）、中信私募基金管理有限公司（“</w:t>
            </w:r>
            <w:r>
              <w:rPr>
                <w:rFonts w:ascii="Times New Roman" w:hAnsi="Times New Roman" w:cs="Times New Roman"/>
                <w:b/>
              </w:rPr>
              <w:t>中信私募</w:t>
            </w:r>
            <w:r>
              <w:rPr>
                <w:rFonts w:ascii="Times New Roman" w:hAnsi="Times New Roman" w:cs="Times New Roman"/>
              </w:rPr>
              <w:t>”）等九方拟共同新设一家有限合伙企业（“</w:t>
            </w:r>
            <w:r>
              <w:rPr>
                <w:rFonts w:ascii="Times New Roman" w:hAnsi="Times New Roman" w:cs="Times New Roman"/>
                <w:b/>
              </w:rPr>
              <w:t>合营企业</w:t>
            </w:r>
            <w:r>
              <w:rPr>
                <w:rFonts w:ascii="Times New Roman" w:hAnsi="Times New Roman" w:cs="Times New Roman"/>
              </w:rPr>
              <w:t>”）。合营企业拟主要在中国境内从事私募股权投资基金业务。国风投管理公司、浙能投资、中信私募均为合营企业的普通合伙人并分别持有合营企业0.0189%的合伙份额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其余六方为合营企业的有限合伙人</w:t>
            </w:r>
            <w:r>
              <w:rPr>
                <w:rFonts w:hint="eastAsia" w:ascii="Times New Roman" w:hAnsi="Times New Roman" w:cs="Times New Roman"/>
              </w:rPr>
              <w:t>并合计持有合营企业99.9811%的合伙份额</w:t>
            </w:r>
            <w:r>
              <w:rPr>
                <w:rFonts w:ascii="Times New Roman" w:hAnsi="Times New Roman" w:cs="Times New Roman"/>
              </w:rPr>
              <w:t>。本次交易后，国风投管理公司、浙能投资、中信私募将共同控制该合营企业。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97" w:type="dxa"/>
            <w:vMerge w:val="restart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 w:eastAsiaTheme="minorEastAsia"/>
                <w:bCs/>
                <w:color w:val="000000"/>
                <w:lang w:val="en-US" w:eastAsia="zh-CN"/>
              </w:rPr>
            </w:pPr>
            <w:r>
              <w:rPr>
                <w:rFonts w:cs="Times New Roman" w:eastAsiaTheme="minorEastAsia"/>
                <w:bCs/>
                <w:color w:val="000000"/>
                <w:lang w:eastAsia="zh-CN"/>
              </w:rPr>
              <w:t>参与集中的经营者简介</w:t>
            </w:r>
          </w:p>
        </w:tc>
        <w:tc>
          <w:tcPr>
            <w:tcW w:w="1488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eastAsia="zh-CN"/>
              </w:rPr>
            </w:pPr>
            <w:r>
              <w:rPr>
                <w:rFonts w:cs="Times New Roman"/>
                <w:bCs/>
                <w:color w:val="000000"/>
                <w:lang w:val="en-US" w:eastAsia="zh-CN"/>
              </w:rPr>
              <w:t>1.</w:t>
            </w:r>
            <w:r>
              <w:rPr>
                <w:rFonts w:cs="Times New Roman"/>
                <w:lang w:eastAsia="zh-CN"/>
              </w:rPr>
              <w:t xml:space="preserve"> 国风投管理公司</w:t>
            </w:r>
          </w:p>
        </w:tc>
        <w:tc>
          <w:tcPr>
            <w:tcW w:w="5647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国风投管理公司于2022年11月1日成立于北京市，主要业务为私募股权投资基金业务。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>国风投管理公司的最终控制人为中国国新控股有限责任公司，主要从事授权范围内的国有资产经营与管理，国有股权经营与管理，受托管理，资本运营等。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97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 w:eastAsiaTheme="minorEastAsia"/>
                <w:bCs/>
                <w:color w:val="000000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/>
                <w:kern w:val="2"/>
                <w:lang w:val="en-US" w:eastAsia="zh-CN" w:bidi="ar-SA"/>
              </w:rPr>
            </w:pPr>
            <w:r>
              <w:rPr>
                <w:rFonts w:cs="Times New Roman"/>
                <w:kern w:val="2"/>
                <w:lang w:val="en-US" w:eastAsia="zh-CN" w:bidi="ar-SA"/>
              </w:rPr>
              <w:t xml:space="preserve">2. </w:t>
            </w:r>
            <w:r>
              <w:rPr>
                <w:rFonts w:cs="Times New Roman"/>
              </w:rPr>
              <w:t>浙能投资</w:t>
            </w:r>
          </w:p>
        </w:tc>
        <w:tc>
          <w:tcPr>
            <w:tcW w:w="5647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kern w:val="0"/>
                <w:sz w:val="24"/>
              </w:rPr>
              <w:t>浙能投资于2023年12月25日成立于浙江省杭州市，</w:t>
            </w:r>
            <w:r>
              <w:rPr>
                <w:sz w:val="24"/>
              </w:rPr>
              <w:t>主要业务为私募股权投资基金业务。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kern w:val="0"/>
                <w:sz w:val="24"/>
              </w:rPr>
              <w:t>浙能投资的最终控制人为浙江浙能电力股份有限公司，主要从事火力发电业务，辅以提供热力产品，以及对核电投资。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97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 w:eastAsiaTheme="minorEastAsia"/>
                <w:bCs/>
                <w:color w:val="000000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/>
                <w:kern w:val="2"/>
                <w:lang w:val="en-US" w:eastAsia="zh-CN" w:bidi="ar-SA"/>
              </w:rPr>
            </w:pPr>
            <w:r>
              <w:rPr>
                <w:rFonts w:cs="Times New Roman"/>
                <w:kern w:val="2"/>
                <w:lang w:val="en-US" w:eastAsia="zh-CN" w:bidi="ar-SA"/>
              </w:rPr>
              <w:t>3、</w:t>
            </w:r>
            <w:r>
              <w:rPr>
                <w:rFonts w:cs="Times New Roman"/>
              </w:rPr>
              <w:t>中信私募</w:t>
            </w:r>
          </w:p>
        </w:tc>
        <w:tc>
          <w:tcPr>
            <w:tcW w:w="5647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kern w:val="0"/>
                <w:sz w:val="24"/>
              </w:rPr>
              <w:t>中信私募于2022年8月31日成立于北京市，</w:t>
            </w:r>
            <w:r>
              <w:rPr>
                <w:sz w:val="24"/>
              </w:rPr>
              <w:t>主要业务为私募股权投资基金业务。</w:t>
            </w:r>
          </w:p>
          <w:p>
            <w:pPr>
              <w:adjustRightInd w:val="0"/>
              <w:snapToGrid w:val="0"/>
              <w:rPr>
                <w:rFonts w:hint="eastAsia" w:eastAsia="宋体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中信私募的最终控制人为中国中信集团有限公司，其主要业务</w:t>
            </w:r>
            <w:r>
              <w:rPr>
                <w:rFonts w:hint="eastAsia"/>
                <w:kern w:val="0"/>
                <w:sz w:val="24"/>
                <w:lang w:eastAsia="zh-CN"/>
              </w:rPr>
              <w:t>包括</w:t>
            </w:r>
            <w:r>
              <w:rPr>
                <w:kern w:val="0"/>
                <w:sz w:val="24"/>
              </w:rPr>
              <w:t>金融业、资源能源业、制造业、房地产及基础设施业、工程承包业</w:t>
            </w:r>
            <w:r>
              <w:rPr>
                <w:rFonts w:hint="eastAsia"/>
                <w:kern w:val="0"/>
                <w:sz w:val="24"/>
                <w:lang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97" w:type="dxa"/>
            <w:vMerge w:val="restart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 w:eastAsiaTheme="minorEastAsia"/>
                <w:bCs/>
                <w:color w:val="000000"/>
                <w:lang w:val="en-US" w:eastAsia="zh-CN"/>
              </w:rPr>
            </w:pPr>
            <w:r>
              <w:rPr>
                <w:rFonts w:cs="Times New Roman" w:eastAsiaTheme="minor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135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FE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797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 w:eastAsiaTheme="minorEastAsia"/>
                <w:bCs/>
                <w:color w:val="000000"/>
                <w:lang w:val="en-US" w:eastAsia="zh-CN"/>
              </w:rPr>
            </w:pPr>
          </w:p>
        </w:tc>
        <w:tc>
          <w:tcPr>
            <w:tcW w:w="7135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797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 w:eastAsiaTheme="minorEastAsia"/>
                <w:bCs/>
                <w:color w:val="000000"/>
                <w:lang w:val="en-US" w:eastAsia="zh-CN"/>
              </w:rPr>
            </w:pPr>
          </w:p>
        </w:tc>
        <w:tc>
          <w:tcPr>
            <w:tcW w:w="7135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97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 w:eastAsiaTheme="minorEastAsia"/>
                <w:bCs/>
                <w:color w:val="000000"/>
                <w:lang w:val="en-US" w:eastAsia="zh-CN"/>
              </w:rPr>
            </w:pPr>
          </w:p>
        </w:tc>
        <w:tc>
          <w:tcPr>
            <w:tcW w:w="7135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797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 w:eastAsiaTheme="minorEastAsia"/>
                <w:bCs/>
                <w:color w:val="000000"/>
                <w:lang w:val="en-US" w:eastAsia="zh-CN"/>
              </w:rPr>
            </w:pPr>
          </w:p>
        </w:tc>
        <w:tc>
          <w:tcPr>
            <w:tcW w:w="7135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797" w:type="dxa"/>
            <w:vMerge w:val="continue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 w:eastAsiaTheme="minorEastAsia"/>
                <w:bCs/>
                <w:color w:val="000000"/>
                <w:lang w:val="en-US" w:eastAsia="zh-CN"/>
              </w:rPr>
            </w:pPr>
          </w:p>
        </w:tc>
        <w:tc>
          <w:tcPr>
            <w:tcW w:w="7135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cs="Times New Roman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797" w:type="dxa"/>
            <w:shd w:val="clear" w:color="auto" w:fill="D9D9D9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 w:eastAsiaTheme="minorEastAsia"/>
                <w:bCs/>
                <w:color w:val="000000"/>
                <w:lang w:val="en-US" w:eastAsia="zh-CN"/>
              </w:rPr>
            </w:pPr>
            <w:r>
              <w:rPr>
                <w:rFonts w:cs="Times New Roman" w:eastAsiaTheme="minor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135" w:type="dxa"/>
            <w:gridSpan w:val="2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cs="Times New Roman"/>
                <w:b/>
                <w:kern w:val="2"/>
                <w:lang w:val="en-US" w:eastAsia="zh-CN" w:bidi="ar-SA"/>
              </w:rPr>
            </w:pPr>
            <w:r>
              <w:rPr>
                <w:rFonts w:cs="Times New Roman"/>
                <w:b/>
                <w:kern w:val="2"/>
                <w:lang w:val="en-US" w:eastAsia="zh-CN" w:bidi="ar-SA"/>
              </w:rPr>
              <w:t>横向重叠：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bCs/>
                <w:color w:val="000000"/>
                <w:lang w:val="en-US" w:eastAsia="zh-CN"/>
              </w:rPr>
              <w:t>2022年</w:t>
            </w:r>
            <w:r>
              <w:rPr>
                <w:rFonts w:cs="Times New Roman"/>
                <w:bCs/>
                <w:color w:val="000000"/>
                <w:lang w:eastAsia="zh-CN"/>
              </w:rPr>
              <w:t>中国境内</w:t>
            </w:r>
            <w:r>
              <w:rPr>
                <w:rFonts w:cs="Times New Roman"/>
                <w:lang w:eastAsia="zh-CN"/>
              </w:rPr>
              <w:t>私募股权投资基金市场</w:t>
            </w:r>
            <w:r>
              <w:rPr>
                <w:rFonts w:cs="Times New Roman"/>
                <w:bCs/>
                <w:color w:val="000000"/>
                <w:lang w:val="en-US" w:eastAsia="zh-CN"/>
              </w:rPr>
              <w:t>: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lang w:eastAsia="zh-CN"/>
              </w:rPr>
              <w:t>国风投管理公司</w:t>
            </w:r>
            <w:r>
              <w:rPr>
                <w:rFonts w:cs="Times New Roman"/>
                <w:bCs/>
                <w:color w:val="000000"/>
                <w:lang w:val="en-US" w:eastAsia="zh-CN"/>
              </w:rPr>
              <w:t>：[0-5%]；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cs="Times New Roman"/>
                <w:lang w:eastAsia="zh-CN"/>
              </w:rPr>
              <w:t>浙能投资</w:t>
            </w:r>
            <w:r>
              <w:rPr>
                <w:rFonts w:hint="eastAsia" w:cs="Times New Roman"/>
                <w:bCs/>
                <w:color w:val="000000"/>
                <w:lang w:val="en-US" w:eastAsia="zh-CN"/>
              </w:rPr>
              <w:t>：</w:t>
            </w:r>
            <w:r>
              <w:rPr>
                <w:rFonts w:cs="Times New Roman"/>
                <w:bCs/>
                <w:color w:val="000000"/>
                <w:lang w:val="en-US" w:eastAsia="zh-CN"/>
              </w:rPr>
              <w:t xml:space="preserve"> [0-5%]；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cs="Times New Roman"/>
                <w:kern w:val="2"/>
                <w:lang w:val="en-US" w:eastAsia="zh-CN" w:bidi="ar-SA"/>
              </w:rPr>
            </w:pPr>
            <w:r>
              <w:rPr>
                <w:rFonts w:cs="Times New Roman"/>
                <w:lang w:eastAsia="zh-CN"/>
              </w:rPr>
              <w:t>中信私募</w:t>
            </w:r>
            <w:r>
              <w:rPr>
                <w:rFonts w:hint="eastAsia" w:cs="Times New Roman"/>
                <w:lang w:eastAsia="zh-CN"/>
              </w:rPr>
              <w:t>：</w:t>
            </w:r>
            <w:r>
              <w:rPr>
                <w:rFonts w:cs="Times New Roman"/>
                <w:kern w:val="2"/>
                <w:lang w:val="en-US" w:eastAsia="zh-CN" w:bidi="ar-SA"/>
              </w:rPr>
              <w:t>[0-5%]；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cs="Times New Roman"/>
                <w:bCs/>
                <w:color w:val="000000"/>
                <w:lang w:val="en-US" w:eastAsia="zh-CN"/>
              </w:rPr>
            </w:pPr>
            <w:r>
              <w:rPr>
                <w:rFonts w:hint="eastAsia" w:cs="Times New Roman"/>
                <w:kern w:val="2"/>
                <w:lang w:val="en-US" w:eastAsia="zh-CN" w:bidi="ar-SA"/>
              </w:rPr>
              <w:t>各</w:t>
            </w:r>
            <w:bookmarkStart w:id="0" w:name="_GoBack"/>
            <w:bookmarkEnd w:id="0"/>
            <w:r>
              <w:rPr>
                <w:rFonts w:cs="Times New Roman"/>
                <w:kern w:val="2"/>
                <w:lang w:val="en-US" w:eastAsia="zh-CN" w:bidi="ar-SA"/>
              </w:rPr>
              <w:t>方合计：[0-5%]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plified Arabic">
    <w:altName w:val="Times New Roman"/>
    <w:panose1 w:val="00000000000000000000"/>
    <w:charset w:val="00"/>
    <w:family w:val="roman"/>
    <w:pitch w:val="default"/>
    <w:sig w:usb0="00000000" w:usb1="00000000" w:usb2="00000000" w:usb3="00000000" w:csb0="00000041" w:csb1="200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41"/>
    <w:rsid w:val="00055FAA"/>
    <w:rsid w:val="00095037"/>
    <w:rsid w:val="0016644E"/>
    <w:rsid w:val="0017127C"/>
    <w:rsid w:val="001B38C1"/>
    <w:rsid w:val="001F0F72"/>
    <w:rsid w:val="00267940"/>
    <w:rsid w:val="003168C4"/>
    <w:rsid w:val="00457941"/>
    <w:rsid w:val="004B56EC"/>
    <w:rsid w:val="004E7F6A"/>
    <w:rsid w:val="00522134"/>
    <w:rsid w:val="005367CB"/>
    <w:rsid w:val="005543F7"/>
    <w:rsid w:val="006B3300"/>
    <w:rsid w:val="00780BC0"/>
    <w:rsid w:val="007F3832"/>
    <w:rsid w:val="00846BD5"/>
    <w:rsid w:val="00914A1B"/>
    <w:rsid w:val="00920052"/>
    <w:rsid w:val="009209E8"/>
    <w:rsid w:val="0095475E"/>
    <w:rsid w:val="009641A9"/>
    <w:rsid w:val="009A06B2"/>
    <w:rsid w:val="00A43ACD"/>
    <w:rsid w:val="00A66E2B"/>
    <w:rsid w:val="00AA3369"/>
    <w:rsid w:val="00B014C7"/>
    <w:rsid w:val="00B94D1D"/>
    <w:rsid w:val="00BA1171"/>
    <w:rsid w:val="00BE2FCE"/>
    <w:rsid w:val="00C0272A"/>
    <w:rsid w:val="00C37CC9"/>
    <w:rsid w:val="00C53A77"/>
    <w:rsid w:val="00C55755"/>
    <w:rsid w:val="00CA1571"/>
    <w:rsid w:val="00D11580"/>
    <w:rsid w:val="00D2372D"/>
    <w:rsid w:val="00D93728"/>
    <w:rsid w:val="00DC6430"/>
    <w:rsid w:val="00DE708B"/>
    <w:rsid w:val="00EA18AF"/>
    <w:rsid w:val="00EB2A4E"/>
    <w:rsid w:val="00F37AC2"/>
    <w:rsid w:val="00FC2930"/>
    <w:rsid w:val="6C9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/>
      <w:spacing w:after="240"/>
    </w:pPr>
    <w:rPr>
      <w:rFonts w:cs="Simplified Arabic"/>
      <w:kern w:val="0"/>
      <w:sz w:val="24"/>
      <w:lang w:val="en-GB" w:eastAsia="en-GB" w:bidi="ar-AE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Times New Roman" w:hAnsi="Times New Roman" w:eastAsia="宋体" w:cs="Simplified Arabic"/>
      <w:kern w:val="0"/>
      <w:sz w:val="24"/>
      <w:szCs w:val="24"/>
      <w:lang w:val="en-GB" w:eastAsia="en-GB" w:bidi="ar-A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935</Characters>
  <Lines>7</Lines>
  <Paragraphs>2</Paragraphs>
  <TotalTime>124</TotalTime>
  <ScaleCrop>false</ScaleCrop>
  <LinksUpToDate>false</LinksUpToDate>
  <CharactersWithSpaces>1096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2024-01-05T12:09:00Z</dcterms:created>
  <dc:creator>JTGC</dc:creator>
  <cp:lastModifiedBy>scjgj</cp:lastModifiedBy>
  <cp:lastPrinted>2024-01-19T12:52:15Z</cp:lastPrinted>
  <dcterms:modified xsi:type="dcterms:W3CDTF">2024-01-19T12:52:18Z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