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Times New Roman" w:hAnsi="Times New Roman" w:eastAsia="黑体"/>
          <w:bCs/>
          <w:kern w:val="0"/>
          <w:sz w:val="36"/>
          <w:szCs w:val="36"/>
          <w:lang w:val="en-GB" w:bidi="ar-AE"/>
        </w:rPr>
      </w:pPr>
      <w:r>
        <w:rPr>
          <w:rFonts w:ascii="Times New Roman" w:hAnsi="Times New Roman" w:eastAsia="黑体"/>
          <w:bCs/>
          <w:kern w:val="0"/>
          <w:sz w:val="36"/>
          <w:szCs w:val="36"/>
          <w:lang w:val="en-GB" w:bidi="ar-AE"/>
        </w:rPr>
        <w:t>经营者集中简易案件公示表</w:t>
      </w:r>
    </w:p>
    <w:tbl>
      <w:tblPr>
        <w:tblStyle w:val="10"/>
        <w:tblW w:w="949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2410"/>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shd w:val="clear" w:color="auto" w:fill="D9D9D9"/>
            <w:vAlign w:val="center"/>
          </w:tcPr>
          <w:p>
            <w:pPr>
              <w:rPr>
                <w:rFonts w:ascii="Times New Roman" w:hAnsi="Times New Roman"/>
                <w:sz w:val="24"/>
                <w:szCs w:val="24"/>
              </w:rPr>
            </w:pPr>
            <w:r>
              <w:rPr>
                <w:rFonts w:ascii="Times New Roman" w:hAnsi="Times New Roman"/>
                <w:sz w:val="24"/>
                <w:szCs w:val="24"/>
              </w:rPr>
              <w:t>案件名称</w:t>
            </w:r>
          </w:p>
        </w:tc>
        <w:tc>
          <w:tcPr>
            <w:tcW w:w="7513" w:type="dxa"/>
            <w:gridSpan w:val="2"/>
            <w:shd w:val="clear" w:color="auto" w:fill="auto"/>
            <w:vAlign w:val="center"/>
          </w:tcPr>
          <w:p>
            <w:pPr>
              <w:rPr>
                <w:rFonts w:ascii="Times New Roman" w:hAnsi="Times New Roman"/>
                <w:sz w:val="24"/>
                <w:szCs w:val="24"/>
              </w:rPr>
            </w:pPr>
            <w:r>
              <w:rPr>
                <w:rFonts w:hint="eastAsia" w:ascii="Times New Roman" w:hAnsi="Times New Roman"/>
                <w:sz w:val="24"/>
                <w:szCs w:val="24"/>
                <w:lang w:val="en-GB"/>
              </w:rPr>
              <w:t>唐山国控集团有限公司收购唐山曹妃甸渐阑珊实业有限公司等两家公司股权案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985" w:type="dxa"/>
            <w:shd w:val="clear" w:color="auto" w:fill="D9D9D9"/>
            <w:vAlign w:val="center"/>
          </w:tcPr>
          <w:p>
            <w:pPr>
              <w:rPr>
                <w:rFonts w:ascii="Times New Roman" w:hAnsi="Times New Roman"/>
                <w:sz w:val="24"/>
                <w:szCs w:val="24"/>
              </w:rPr>
            </w:pPr>
            <w:r>
              <w:rPr>
                <w:rFonts w:ascii="Times New Roman" w:hAnsi="Times New Roman"/>
                <w:sz w:val="24"/>
                <w:szCs w:val="24"/>
              </w:rPr>
              <w:t>交易概况（限200字内）</w:t>
            </w:r>
          </w:p>
        </w:tc>
        <w:tc>
          <w:tcPr>
            <w:tcW w:w="7513" w:type="dxa"/>
            <w:gridSpan w:val="2"/>
          </w:tcPr>
          <w:p>
            <w:pPr>
              <w:rPr>
                <w:rFonts w:ascii="Times New Roman" w:hAnsi="Times New Roman"/>
                <w:sz w:val="24"/>
                <w:szCs w:val="24"/>
              </w:rPr>
            </w:pPr>
            <w:r>
              <w:rPr>
                <w:rFonts w:hint="eastAsia" w:ascii="Times New Roman" w:hAnsi="Times New Roman"/>
                <w:sz w:val="24"/>
                <w:szCs w:val="24"/>
                <w:lang w:val="en-GB"/>
              </w:rPr>
              <w:t>唐山国控集团有限公司（“</w:t>
            </w:r>
            <w:r>
              <w:rPr>
                <w:rFonts w:hint="eastAsia" w:ascii="Times New Roman" w:hAnsi="Times New Roman"/>
                <w:b/>
                <w:bCs/>
                <w:sz w:val="24"/>
                <w:szCs w:val="24"/>
                <w:lang w:val="en-GB"/>
              </w:rPr>
              <w:t>唐国控</w:t>
            </w:r>
            <w:r>
              <w:rPr>
                <w:rFonts w:hint="eastAsia" w:ascii="Times New Roman" w:hAnsi="Times New Roman"/>
                <w:sz w:val="24"/>
                <w:szCs w:val="24"/>
                <w:lang w:val="en-GB"/>
              </w:rPr>
              <w:t>”）拟通过国有产权无偿划转收购唐山曹妃甸渐阑珊实业有限公司（“</w:t>
            </w:r>
            <w:r>
              <w:rPr>
                <w:rFonts w:hint="eastAsia" w:ascii="Times New Roman" w:hAnsi="Times New Roman"/>
                <w:b/>
                <w:bCs/>
                <w:sz w:val="24"/>
                <w:szCs w:val="24"/>
                <w:lang w:val="en-GB"/>
              </w:rPr>
              <w:t>唐山渐阑珊</w:t>
            </w:r>
            <w:r>
              <w:rPr>
                <w:rFonts w:hint="eastAsia" w:ascii="Times New Roman" w:hAnsi="Times New Roman"/>
                <w:sz w:val="24"/>
                <w:szCs w:val="24"/>
                <w:lang w:val="en-GB"/>
              </w:rPr>
              <w:t>”）63.43%股权和唐山科技创业投资管理有限责任公司（“</w:t>
            </w:r>
            <w:r>
              <w:rPr>
                <w:rFonts w:hint="eastAsia" w:ascii="Times New Roman" w:hAnsi="Times New Roman"/>
                <w:b/>
                <w:bCs/>
                <w:sz w:val="24"/>
                <w:szCs w:val="24"/>
                <w:lang w:val="en-GB"/>
              </w:rPr>
              <w:t>唐山科创</w:t>
            </w:r>
            <w:r>
              <w:rPr>
                <w:rFonts w:hint="eastAsia" w:ascii="Times New Roman" w:hAnsi="Times New Roman"/>
                <w:sz w:val="24"/>
                <w:szCs w:val="24"/>
                <w:lang w:val="en-GB"/>
              </w:rPr>
              <w:t>”，与唐山渐阑珊合称“</w:t>
            </w:r>
            <w:r>
              <w:rPr>
                <w:rFonts w:hint="eastAsia" w:ascii="Times New Roman" w:hAnsi="Times New Roman"/>
                <w:b/>
                <w:bCs/>
                <w:sz w:val="24"/>
                <w:szCs w:val="24"/>
                <w:lang w:val="en-GB"/>
              </w:rPr>
              <w:t>目标公司</w:t>
            </w:r>
            <w:r>
              <w:rPr>
                <w:rFonts w:hint="eastAsia" w:ascii="Times New Roman" w:hAnsi="Times New Roman"/>
                <w:sz w:val="24"/>
                <w:szCs w:val="24"/>
                <w:lang w:val="en-GB"/>
              </w:rPr>
              <w:t>”）100%的股权。由于唐山渐阑珊和唐山科创</w:t>
            </w:r>
            <w:r>
              <w:rPr>
                <w:rFonts w:hint="eastAsia" w:ascii="Times New Roman" w:hAnsi="Times New Roman"/>
                <w:sz w:val="24"/>
                <w:szCs w:val="24"/>
                <w:lang w:val="en-GB" w:eastAsia="zh-CN"/>
              </w:rPr>
              <w:t>均</w:t>
            </w:r>
            <w:r>
              <w:rPr>
                <w:rFonts w:hint="eastAsia" w:ascii="Times New Roman" w:hAnsi="Times New Roman"/>
                <w:sz w:val="24"/>
                <w:szCs w:val="24"/>
                <w:lang w:val="en-GB"/>
              </w:rPr>
              <w:t>持有唐山三友集团有限公司（“</w:t>
            </w:r>
            <w:r>
              <w:rPr>
                <w:rFonts w:hint="eastAsia" w:ascii="Times New Roman" w:hAnsi="Times New Roman"/>
                <w:b/>
                <w:bCs/>
                <w:sz w:val="24"/>
                <w:szCs w:val="24"/>
                <w:lang w:val="en-GB"/>
              </w:rPr>
              <w:t>三友集团</w:t>
            </w:r>
            <w:r>
              <w:rPr>
                <w:rFonts w:hint="eastAsia" w:ascii="Times New Roman" w:hAnsi="Times New Roman"/>
                <w:sz w:val="24"/>
                <w:szCs w:val="24"/>
                <w:lang w:val="en-GB"/>
              </w:rPr>
              <w:t>”）的部分股权，通过对目标公司的收购，唐国控将间接取得三友集团的单独控制权。</w:t>
            </w:r>
          </w:p>
          <w:p>
            <w:pPr>
              <w:rPr>
                <w:rFonts w:ascii="Times New Roman" w:hAnsi="Times New Roman"/>
                <w:sz w:val="24"/>
                <w:szCs w:val="24"/>
              </w:rPr>
            </w:pPr>
            <w:r>
              <w:rPr>
                <w:rFonts w:hint="eastAsia" w:ascii="Times New Roman" w:hAnsi="Times New Roman"/>
                <w:sz w:val="24"/>
                <w:szCs w:val="24"/>
              </w:rPr>
              <w:t>交易前，唐山渐阑珊</w:t>
            </w:r>
            <w:r>
              <w:rPr>
                <w:rFonts w:hint="eastAsia" w:ascii="Times New Roman" w:hAnsi="Times New Roman"/>
                <w:sz w:val="24"/>
                <w:szCs w:val="24"/>
                <w:lang w:eastAsia="zh-CN"/>
              </w:rPr>
              <w:t>为</w:t>
            </w:r>
            <w:r>
              <w:rPr>
                <w:rFonts w:hint="eastAsia" w:ascii="Times New Roman" w:hAnsi="Times New Roman"/>
                <w:sz w:val="24"/>
                <w:szCs w:val="24"/>
              </w:rPr>
              <w:t>唐山市曹妃甸区国有资产管理局</w:t>
            </w:r>
            <w:r>
              <w:rPr>
                <w:rFonts w:hint="eastAsia" w:ascii="Times New Roman" w:hAnsi="Times New Roman"/>
                <w:sz w:val="24"/>
                <w:szCs w:val="24"/>
                <w:lang w:val="en-GB" w:eastAsia="zh-CN"/>
              </w:rPr>
              <w:t>下属企业</w:t>
            </w:r>
            <w:r>
              <w:rPr>
                <w:rFonts w:hint="eastAsia" w:ascii="Times New Roman" w:hAnsi="Times New Roman"/>
                <w:sz w:val="24"/>
                <w:szCs w:val="24"/>
              </w:rPr>
              <w:t>；唐山科创由唐山金融发展集团有限公司单独控制。交易完成后，目标公司</w:t>
            </w:r>
            <w:r>
              <w:rPr>
                <w:rFonts w:hint="eastAsia" w:ascii="Times New Roman" w:hAnsi="Times New Roman"/>
                <w:sz w:val="24"/>
                <w:szCs w:val="24"/>
                <w:lang w:eastAsia="zh-CN"/>
              </w:rPr>
              <w:t>及</w:t>
            </w:r>
            <w:r>
              <w:rPr>
                <w:rFonts w:hint="eastAsia" w:ascii="Times New Roman" w:hAnsi="Times New Roman"/>
                <w:sz w:val="24"/>
                <w:szCs w:val="24"/>
              </w:rPr>
              <w:t>三友集团将由唐国控单独控制。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85" w:type="dxa"/>
            <w:vMerge w:val="restart"/>
            <w:shd w:val="clear" w:color="auto" w:fill="D9D9D9"/>
            <w:vAlign w:val="center"/>
          </w:tcPr>
          <w:p>
            <w:pPr>
              <w:rPr>
                <w:rFonts w:ascii="Times New Roman" w:hAnsi="Times New Roman"/>
                <w:sz w:val="24"/>
                <w:szCs w:val="24"/>
              </w:rPr>
            </w:pPr>
            <w:r>
              <w:rPr>
                <w:rFonts w:ascii="Times New Roman" w:hAnsi="Times New Roman"/>
                <w:sz w:val="24"/>
                <w:szCs w:val="24"/>
              </w:rPr>
              <w:t>参与集中的经营者简介</w:t>
            </w:r>
          </w:p>
        </w:tc>
        <w:tc>
          <w:tcPr>
            <w:tcW w:w="2410" w:type="dxa"/>
          </w:tcPr>
          <w:p>
            <w:pPr>
              <w:pStyle w:val="21"/>
              <w:numPr>
                <w:ilvl w:val="0"/>
                <w:numId w:val="1"/>
              </w:numPr>
              <w:tabs>
                <w:tab w:val="left" w:pos="651"/>
              </w:tabs>
              <w:spacing w:after="156" w:afterLines="50"/>
              <w:ind w:firstLineChars="0"/>
              <w:rPr>
                <w:rFonts w:ascii="Times New Roman" w:hAnsi="Times New Roman"/>
                <w:sz w:val="24"/>
                <w:szCs w:val="24"/>
              </w:rPr>
            </w:pPr>
            <w:r>
              <w:rPr>
                <w:rFonts w:hint="eastAsia" w:ascii="Times New Roman" w:hAnsi="Times New Roman"/>
                <w:sz w:val="24"/>
                <w:szCs w:val="24"/>
              </w:rPr>
              <w:t>唐国控</w:t>
            </w:r>
          </w:p>
        </w:tc>
        <w:tc>
          <w:tcPr>
            <w:tcW w:w="5103" w:type="dxa"/>
          </w:tcPr>
          <w:p>
            <w:pPr>
              <w:widowControl/>
              <w:adjustRightInd w:val="0"/>
              <w:snapToGrid w:val="0"/>
              <w:spacing w:after="156" w:afterLines="50"/>
              <w:rPr>
                <w:rFonts w:ascii="Times New Roman" w:hAnsi="Times New Roman"/>
                <w:sz w:val="24"/>
                <w:szCs w:val="24"/>
              </w:rPr>
            </w:pPr>
            <w:r>
              <w:rPr>
                <w:rFonts w:hint="eastAsia" w:ascii="Times New Roman" w:hAnsi="Times New Roman"/>
                <w:sz w:val="24"/>
                <w:szCs w:val="24"/>
              </w:rPr>
              <w:t>唐国控于2022年4月25日成立于河北省唐山市，主要从事唐山曹妃甸区的围海造地及土地平整、港口业务、基础设施回购、大宗商品贸易、政策性住房建设管理、政府投资项目代建、房地产开发、城市更新、国有房产管理、物业综合服务等多项业务。</w:t>
            </w:r>
          </w:p>
          <w:p>
            <w:pPr>
              <w:widowControl/>
              <w:adjustRightInd w:val="0"/>
              <w:snapToGrid w:val="0"/>
              <w:spacing w:after="156" w:afterLines="50"/>
              <w:rPr>
                <w:rFonts w:ascii="Times New Roman" w:hAnsi="Times New Roman"/>
                <w:bCs/>
                <w:color w:val="000000"/>
                <w:kern w:val="0"/>
                <w:sz w:val="24"/>
                <w:szCs w:val="24"/>
                <w:lang w:bidi="ar-AE"/>
              </w:rPr>
            </w:pPr>
            <w:r>
              <w:rPr>
                <w:rFonts w:hint="eastAsia" w:ascii="Times New Roman" w:hAnsi="Times New Roman"/>
                <w:sz w:val="24"/>
                <w:szCs w:val="24"/>
              </w:rPr>
              <w:t>唐国控为唐山市人民政府国有资产监督管理委员会</w:t>
            </w:r>
            <w:r>
              <w:rPr>
                <w:rFonts w:hint="eastAsia" w:ascii="Times New Roman" w:hAnsi="Times New Roman"/>
                <w:sz w:val="24"/>
                <w:szCs w:val="24"/>
                <w:lang w:eastAsia="zh-CN"/>
              </w:rPr>
              <w:t>下属企业</w:t>
            </w:r>
            <w:r>
              <w:rPr>
                <w:rFonts w:hint="eastAsia" w:ascii="Times New Roman" w:hAnsi="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985" w:type="dxa"/>
            <w:vMerge w:val="continue"/>
            <w:shd w:val="clear" w:color="auto" w:fill="D9D9D9"/>
            <w:vAlign w:val="center"/>
          </w:tcPr>
          <w:p>
            <w:pPr>
              <w:rPr>
                <w:rFonts w:ascii="Times New Roman" w:hAnsi="Times New Roman"/>
                <w:sz w:val="24"/>
                <w:szCs w:val="24"/>
              </w:rPr>
            </w:pPr>
          </w:p>
        </w:tc>
        <w:tc>
          <w:tcPr>
            <w:tcW w:w="2410" w:type="dxa"/>
          </w:tcPr>
          <w:p>
            <w:pPr>
              <w:pStyle w:val="21"/>
              <w:numPr>
                <w:ilvl w:val="0"/>
                <w:numId w:val="1"/>
              </w:numPr>
              <w:spacing w:after="156" w:afterLines="50"/>
              <w:ind w:firstLineChars="0"/>
              <w:rPr>
                <w:rFonts w:ascii="Times New Roman" w:hAnsi="Times New Roman"/>
                <w:sz w:val="24"/>
                <w:szCs w:val="24"/>
              </w:rPr>
            </w:pPr>
            <w:r>
              <w:rPr>
                <w:rFonts w:hint="eastAsia" w:ascii="Times New Roman" w:hAnsi="Times New Roman"/>
                <w:sz w:val="24"/>
                <w:szCs w:val="24"/>
                <w:lang w:val="en-GB"/>
              </w:rPr>
              <w:t>唐山渐阑珊</w:t>
            </w:r>
          </w:p>
        </w:tc>
        <w:tc>
          <w:tcPr>
            <w:tcW w:w="5103" w:type="dxa"/>
          </w:tcPr>
          <w:p>
            <w:pPr>
              <w:widowControl/>
              <w:adjustRightInd w:val="0"/>
              <w:snapToGrid w:val="0"/>
              <w:spacing w:after="156" w:afterLines="50"/>
              <w:rPr>
                <w:rFonts w:ascii="Times New Roman" w:hAnsi="Times New Roman"/>
                <w:sz w:val="24"/>
                <w:szCs w:val="24"/>
              </w:rPr>
            </w:pPr>
            <w:r>
              <w:rPr>
                <w:rFonts w:hint="eastAsia" w:ascii="Times New Roman" w:hAnsi="Times New Roman"/>
                <w:sz w:val="24"/>
                <w:szCs w:val="24"/>
              </w:rPr>
              <w:t>唐山渐阑珊于2017年11月22日成立于河北省唐山市，主要通过其关联实体三友集团从事纯碱、粘胶纤维和聚氯乙烯等产品的供应</w:t>
            </w:r>
            <w:r>
              <w:rPr>
                <w:rFonts w:hint="eastAsia" w:ascii="Times New Roman" w:hAnsi="Times New Roman"/>
                <w:sz w:val="24"/>
                <w:szCs w:val="24"/>
                <w:lang w:eastAsia="zh-CN"/>
              </w:rPr>
              <w:t>业务</w:t>
            </w:r>
            <w:r>
              <w:rPr>
                <w:rFonts w:hint="eastAsia" w:ascii="Times New Roman" w:hAnsi="Times New Roman"/>
                <w:sz w:val="24"/>
                <w:szCs w:val="24"/>
              </w:rPr>
              <w:t>。</w:t>
            </w:r>
          </w:p>
          <w:p>
            <w:pPr>
              <w:widowControl/>
              <w:adjustRightInd w:val="0"/>
              <w:snapToGrid w:val="0"/>
              <w:spacing w:after="156" w:afterLines="50"/>
              <w:rPr>
                <w:rFonts w:ascii="Times New Roman" w:hAnsi="Times New Roman"/>
                <w:color w:val="000000"/>
                <w:sz w:val="24"/>
                <w:szCs w:val="24"/>
              </w:rPr>
            </w:pPr>
            <w:r>
              <w:rPr>
                <w:rFonts w:hint="eastAsia" w:ascii="Times New Roman" w:hAnsi="Times New Roman"/>
                <w:sz w:val="24"/>
                <w:szCs w:val="24"/>
              </w:rPr>
              <w:t>唐山渐阑珊为唐山市曹妃甸区国有资产管理局</w:t>
            </w:r>
            <w:r>
              <w:rPr>
                <w:rFonts w:hint="eastAsia" w:ascii="Times New Roman" w:hAnsi="Times New Roman"/>
                <w:sz w:val="24"/>
                <w:szCs w:val="24"/>
                <w:lang w:eastAsia="zh-CN"/>
              </w:rPr>
              <w:t>下属企业</w:t>
            </w:r>
            <w:r>
              <w:rPr>
                <w:rFonts w:hint="eastAsia" w:ascii="Times New Roman" w:hAnsi="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985" w:type="dxa"/>
            <w:vMerge w:val="continue"/>
            <w:shd w:val="clear" w:color="auto" w:fill="D9D9D9"/>
            <w:vAlign w:val="center"/>
          </w:tcPr>
          <w:p>
            <w:pPr>
              <w:rPr>
                <w:rFonts w:ascii="Times New Roman" w:hAnsi="Times New Roman"/>
                <w:sz w:val="24"/>
                <w:szCs w:val="24"/>
              </w:rPr>
            </w:pPr>
          </w:p>
        </w:tc>
        <w:tc>
          <w:tcPr>
            <w:tcW w:w="2410" w:type="dxa"/>
          </w:tcPr>
          <w:p>
            <w:pPr>
              <w:pStyle w:val="21"/>
              <w:numPr>
                <w:ilvl w:val="0"/>
                <w:numId w:val="1"/>
              </w:numPr>
              <w:spacing w:after="156" w:afterLines="50"/>
              <w:ind w:firstLineChars="0"/>
              <w:rPr>
                <w:rFonts w:ascii="Times New Roman" w:hAnsi="Times New Roman"/>
                <w:sz w:val="24"/>
                <w:szCs w:val="24"/>
                <w:lang w:val="en-GB"/>
              </w:rPr>
            </w:pPr>
            <w:r>
              <w:rPr>
                <w:rFonts w:hint="eastAsia" w:ascii="Times New Roman" w:hAnsi="Times New Roman"/>
                <w:sz w:val="24"/>
                <w:szCs w:val="24"/>
                <w:lang w:val="en-GB"/>
              </w:rPr>
              <w:t>唐山科创</w:t>
            </w:r>
          </w:p>
        </w:tc>
        <w:tc>
          <w:tcPr>
            <w:tcW w:w="5103" w:type="dxa"/>
          </w:tcPr>
          <w:p>
            <w:pPr>
              <w:widowControl/>
              <w:adjustRightInd w:val="0"/>
              <w:snapToGrid w:val="0"/>
              <w:spacing w:after="156" w:afterLines="50"/>
              <w:rPr>
                <w:rFonts w:ascii="Times New Roman" w:hAnsi="Times New Roman"/>
                <w:sz w:val="24"/>
                <w:szCs w:val="24"/>
              </w:rPr>
            </w:pPr>
            <w:r>
              <w:rPr>
                <w:rFonts w:hint="eastAsia" w:ascii="Times New Roman" w:hAnsi="Times New Roman"/>
                <w:sz w:val="24"/>
                <w:szCs w:val="24"/>
              </w:rPr>
              <w:t>唐山科创于2009年4月22日成立于河北省</w:t>
            </w:r>
            <w:r>
              <w:rPr>
                <w:rFonts w:hint="eastAsia" w:ascii="Times New Roman" w:hAnsi="Times New Roman"/>
                <w:sz w:val="24"/>
                <w:szCs w:val="24"/>
                <w:lang w:eastAsia="zh-CN"/>
              </w:rPr>
              <w:t>唐山市</w:t>
            </w:r>
            <w:r>
              <w:rPr>
                <w:rFonts w:hint="eastAsia" w:ascii="Times New Roman" w:hAnsi="Times New Roman"/>
                <w:sz w:val="24"/>
                <w:szCs w:val="24"/>
              </w:rPr>
              <w:t>，主要从事</w:t>
            </w:r>
            <w:r>
              <w:rPr>
                <w:rFonts w:hint="eastAsia" w:ascii="Times New Roman" w:hAnsi="Times New Roman"/>
                <w:sz w:val="24"/>
                <w:szCs w:val="24"/>
                <w:lang w:eastAsia="zh-CN"/>
              </w:rPr>
              <w:t>股权</w:t>
            </w:r>
            <w:r>
              <w:rPr>
                <w:rFonts w:hint="eastAsia" w:ascii="Times New Roman" w:hAnsi="Times New Roman"/>
                <w:sz w:val="24"/>
                <w:szCs w:val="24"/>
                <w:highlight w:val="none"/>
              </w:rPr>
              <w:t>投资业务。</w:t>
            </w:r>
          </w:p>
          <w:p>
            <w:pPr>
              <w:widowControl/>
              <w:adjustRightInd w:val="0"/>
              <w:snapToGrid w:val="0"/>
              <w:spacing w:after="156" w:afterLines="50"/>
              <w:rPr>
                <w:rFonts w:hint="eastAsia" w:ascii="Times New Roman" w:hAnsi="Times New Roman" w:eastAsia="宋体"/>
                <w:sz w:val="24"/>
                <w:szCs w:val="24"/>
                <w:lang w:eastAsia="zh-CN"/>
              </w:rPr>
            </w:pPr>
            <w:r>
              <w:rPr>
                <w:rFonts w:hint="eastAsia" w:ascii="Times New Roman" w:hAnsi="Times New Roman"/>
                <w:sz w:val="24"/>
                <w:szCs w:val="24"/>
              </w:rPr>
              <w:t>唐山科创的最终控制人为唐山市城市发展集团有限公司，</w:t>
            </w:r>
            <w:r>
              <w:rPr>
                <w:rFonts w:hint="eastAsia" w:ascii="Times New Roman" w:hAnsi="Times New Roman"/>
                <w:sz w:val="24"/>
                <w:szCs w:val="24"/>
                <w:highlight w:val="none"/>
              </w:rPr>
              <w:t>主要从事国有资本运营</w:t>
            </w:r>
            <w:r>
              <w:rPr>
                <w:rFonts w:hint="eastAsia" w:ascii="Times New Roman" w:hAnsi="Times New Roman"/>
                <w:sz w:val="24"/>
                <w:szCs w:val="24"/>
                <w:highlight w:val="none"/>
                <w:lang w:eastAsia="zh-CN"/>
              </w:rPr>
              <w:t>和</w:t>
            </w:r>
            <w:r>
              <w:rPr>
                <w:rFonts w:hint="eastAsia" w:ascii="Times New Roman" w:hAnsi="Times New Roman"/>
                <w:sz w:val="24"/>
                <w:szCs w:val="24"/>
                <w:highlight w:val="none"/>
              </w:rPr>
              <w:t>股权投资</w:t>
            </w:r>
            <w:r>
              <w:rPr>
                <w:rFonts w:hint="eastAsia" w:ascii="Times New Roman" w:hAnsi="Times New Roman"/>
                <w:sz w:val="24"/>
                <w:szCs w:val="24"/>
                <w:highlight w:val="none"/>
                <w:lang w:eastAsia="zh-CN"/>
              </w:rPr>
              <w:t>等业务。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985" w:type="dxa"/>
            <w:vMerge w:val="restart"/>
            <w:shd w:val="clear" w:color="auto" w:fill="D9D9D9"/>
            <w:vAlign w:val="center"/>
          </w:tcPr>
          <w:p>
            <w:pPr>
              <w:rPr>
                <w:rFonts w:ascii="Times New Roman" w:hAnsi="Times New Roman"/>
                <w:sz w:val="24"/>
                <w:szCs w:val="24"/>
              </w:rPr>
            </w:pPr>
            <w:r>
              <w:rPr>
                <w:rFonts w:ascii="Times New Roman" w:hAnsi="Times New Roman"/>
                <w:sz w:val="24"/>
                <w:szCs w:val="24"/>
              </w:rPr>
              <w:t>简易案件理由（可以单选，也可以多选）</w:t>
            </w:r>
          </w:p>
        </w:tc>
        <w:tc>
          <w:tcPr>
            <w:tcW w:w="7513" w:type="dxa"/>
            <w:gridSpan w:val="2"/>
            <w:vAlign w:val="center"/>
          </w:tcPr>
          <w:p>
            <w:pPr>
              <w:rPr>
                <w:rFonts w:ascii="Times New Roman" w:hAnsi="Times New Roman"/>
                <w:sz w:val="24"/>
                <w:szCs w:val="24"/>
              </w:rPr>
            </w:pPr>
            <w:r>
              <w:rPr>
                <w:rFonts w:ascii="Times New Roman" w:hAnsi="Times New Roman"/>
                <w:sz w:val="24"/>
                <w:szCs w:val="24"/>
                <w:lang w:val="en-GB"/>
              </w:rPr>
              <w:sym w:font="Wingdings" w:char="F0A8"/>
            </w:r>
            <w:r>
              <w:rPr>
                <w:rFonts w:ascii="Times New Roman" w:hAnsi="Times New Roman"/>
                <w:sz w:val="24"/>
                <w:szCs w:val="24"/>
              </w:rPr>
              <w:t>1、在同一相关市场，所有参与集中的经营者所占市场份额之和小于15%。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5" w:type="dxa"/>
            <w:vMerge w:val="continue"/>
            <w:shd w:val="clear" w:color="auto" w:fill="D9D9D9"/>
            <w:vAlign w:val="center"/>
          </w:tcPr>
          <w:p>
            <w:pPr>
              <w:rPr>
                <w:rFonts w:ascii="Times New Roman" w:hAnsi="Times New Roman"/>
                <w:sz w:val="24"/>
                <w:szCs w:val="24"/>
              </w:rPr>
            </w:pPr>
          </w:p>
        </w:tc>
        <w:tc>
          <w:tcPr>
            <w:tcW w:w="7513" w:type="dxa"/>
            <w:gridSpan w:val="2"/>
            <w:vAlign w:val="center"/>
          </w:tcPr>
          <w:p>
            <w:pPr>
              <w:rPr>
                <w:rFonts w:ascii="Times New Roman" w:hAnsi="Times New Roman"/>
                <w:sz w:val="24"/>
                <w:szCs w:val="24"/>
              </w:rPr>
            </w:pPr>
            <w:r>
              <w:rPr>
                <w:rFonts w:ascii="Times New Roman" w:hAnsi="Times New Roman"/>
                <w:sz w:val="24"/>
                <w:szCs w:val="24"/>
                <w:lang w:val="en-GB"/>
              </w:rPr>
              <w:sym w:font="Wingdings" w:char="F0A8"/>
            </w:r>
            <w:r>
              <w:rPr>
                <w:rFonts w:ascii="Times New Roman" w:hAnsi="Times New Roman"/>
                <w:sz w:val="24"/>
                <w:szCs w:val="24"/>
              </w:rPr>
              <w:t>2、存在上下游关系的参与集中的经营者，在上下游市场所占的市场份额均小于25%。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vMerge w:val="continue"/>
            <w:shd w:val="clear" w:color="auto" w:fill="D9D9D9"/>
            <w:vAlign w:val="center"/>
          </w:tcPr>
          <w:p>
            <w:pPr>
              <w:rPr>
                <w:rFonts w:ascii="Times New Roman" w:hAnsi="Times New Roman"/>
                <w:sz w:val="24"/>
                <w:szCs w:val="24"/>
              </w:rPr>
            </w:pPr>
          </w:p>
        </w:tc>
        <w:tc>
          <w:tcPr>
            <w:tcW w:w="7513" w:type="dxa"/>
            <w:gridSpan w:val="2"/>
            <w:vAlign w:val="center"/>
          </w:tcPr>
          <w:p>
            <w:pPr>
              <w:rPr>
                <w:rFonts w:ascii="Times New Roman" w:hAnsi="Times New Roman"/>
                <w:sz w:val="24"/>
                <w:szCs w:val="24"/>
              </w:rPr>
            </w:pPr>
            <w:r>
              <w:rPr>
                <w:rFonts w:ascii="Times New Roman" w:hAnsi="Times New Roman"/>
                <w:sz w:val="24"/>
                <w:szCs w:val="24"/>
              </w:rPr>
              <w:sym w:font="Wingdings" w:char="F0FE"/>
            </w:r>
            <w:r>
              <w:rPr>
                <w:rFonts w:ascii="Times New Roman" w:hAnsi="Times New Roman"/>
                <w:sz w:val="24"/>
                <w:szCs w:val="24"/>
              </w:rPr>
              <w:t>3、不在同一相关市场、也不存在上下游关系的参与集中的经营者，在与交易有关的每个市场所占的份额均小于25%。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985" w:type="dxa"/>
            <w:vMerge w:val="continue"/>
            <w:shd w:val="clear" w:color="auto" w:fill="D9D9D9"/>
            <w:vAlign w:val="center"/>
          </w:tcPr>
          <w:p>
            <w:pPr>
              <w:rPr>
                <w:rFonts w:ascii="Times New Roman" w:hAnsi="Times New Roman"/>
                <w:sz w:val="24"/>
                <w:szCs w:val="24"/>
              </w:rPr>
            </w:pPr>
          </w:p>
        </w:tc>
        <w:tc>
          <w:tcPr>
            <w:tcW w:w="7513" w:type="dxa"/>
            <w:gridSpan w:val="2"/>
            <w:vAlign w:val="center"/>
          </w:tcPr>
          <w:p>
            <w:pPr>
              <w:rPr>
                <w:rFonts w:ascii="Times New Roman" w:hAnsi="Times New Roman"/>
                <w:sz w:val="24"/>
                <w:szCs w:val="24"/>
              </w:rPr>
            </w:pPr>
            <w:r>
              <w:rPr>
                <w:rFonts w:ascii="Times New Roman" w:hAnsi="Times New Roman"/>
                <w:sz w:val="24"/>
                <w:szCs w:val="24"/>
                <w:lang w:val="en-GB"/>
              </w:rPr>
              <w:sym w:font="Wingdings" w:char="F0A8"/>
            </w:r>
            <w:r>
              <w:rPr>
                <w:rFonts w:ascii="Times New Roman" w:hAnsi="Times New Roman"/>
                <w:sz w:val="24"/>
                <w:szCs w:val="24"/>
              </w:rPr>
              <w:t>4、参与集中的经营者在中国境外设立合营企业，合营企业不在中国境内从事经济活动。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985" w:type="dxa"/>
            <w:vMerge w:val="continue"/>
            <w:shd w:val="clear" w:color="auto" w:fill="D9D9D9"/>
            <w:vAlign w:val="center"/>
          </w:tcPr>
          <w:p>
            <w:pPr>
              <w:rPr>
                <w:rFonts w:ascii="Times New Roman" w:hAnsi="Times New Roman"/>
                <w:sz w:val="24"/>
                <w:szCs w:val="24"/>
              </w:rPr>
            </w:pPr>
          </w:p>
        </w:tc>
        <w:tc>
          <w:tcPr>
            <w:tcW w:w="7513" w:type="dxa"/>
            <w:gridSpan w:val="2"/>
            <w:vAlign w:val="center"/>
          </w:tcPr>
          <w:p>
            <w:pPr>
              <w:rPr>
                <w:rFonts w:ascii="Times New Roman" w:hAnsi="Times New Roman"/>
                <w:sz w:val="24"/>
                <w:szCs w:val="24"/>
              </w:rPr>
            </w:pPr>
            <w:r>
              <w:rPr>
                <w:rFonts w:ascii="Times New Roman" w:hAnsi="Times New Roman"/>
                <w:sz w:val="24"/>
                <w:szCs w:val="24"/>
                <w:lang w:val="en-GB"/>
              </w:rPr>
              <w:sym w:font="Wingdings" w:char="F0A8"/>
            </w:r>
            <w:r>
              <w:rPr>
                <w:rFonts w:ascii="Times New Roman" w:hAnsi="Times New Roman"/>
                <w:sz w:val="24"/>
                <w:szCs w:val="24"/>
              </w:rPr>
              <w:t>5、参与集中的经营者收购境外企业股权或资产的，该境外企业不在中国境内从事经济活动。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85" w:type="dxa"/>
            <w:vMerge w:val="continue"/>
            <w:shd w:val="clear" w:color="auto" w:fill="D9D9D9"/>
            <w:vAlign w:val="center"/>
          </w:tcPr>
          <w:p>
            <w:pPr>
              <w:rPr>
                <w:rFonts w:ascii="Times New Roman" w:hAnsi="Times New Roman"/>
                <w:sz w:val="24"/>
                <w:szCs w:val="24"/>
              </w:rPr>
            </w:pPr>
          </w:p>
        </w:tc>
        <w:tc>
          <w:tcPr>
            <w:tcW w:w="7513" w:type="dxa"/>
            <w:gridSpan w:val="2"/>
            <w:vAlign w:val="center"/>
          </w:tcPr>
          <w:p>
            <w:pPr>
              <w:rPr>
                <w:rFonts w:ascii="Times New Roman" w:hAnsi="Times New Roman"/>
                <w:sz w:val="24"/>
                <w:szCs w:val="24"/>
              </w:rPr>
            </w:pPr>
            <w:r>
              <w:rPr>
                <w:rFonts w:ascii="Times New Roman" w:hAnsi="Times New Roman"/>
                <w:sz w:val="24"/>
                <w:szCs w:val="24"/>
                <w:lang w:val="en-GB"/>
              </w:rPr>
              <w:sym w:font="Wingdings" w:char="F0A8"/>
            </w:r>
            <w:r>
              <w:rPr>
                <w:rFonts w:ascii="Times New Roman" w:hAnsi="Times New Roman"/>
                <w:sz w:val="24"/>
                <w:szCs w:val="24"/>
              </w:rPr>
              <w:t>6、由两个以上的经营者共同控制的合营企业，通过集中被其中一个或一个以上经营者控制。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985" w:type="dxa"/>
            <w:shd w:val="clear" w:color="auto" w:fill="D9D9D9"/>
            <w:vAlign w:val="center"/>
          </w:tcPr>
          <w:p>
            <w:pPr>
              <w:rPr>
                <w:rFonts w:ascii="Times New Roman" w:hAnsi="Times New Roman"/>
                <w:sz w:val="24"/>
                <w:szCs w:val="24"/>
              </w:rPr>
            </w:pPr>
            <w:r>
              <w:rPr>
                <w:rFonts w:ascii="Times New Roman" w:hAnsi="Times New Roman"/>
                <w:sz w:val="24"/>
                <w:szCs w:val="24"/>
              </w:rPr>
              <w:t>备注</w:t>
            </w:r>
          </w:p>
        </w:tc>
        <w:tc>
          <w:tcPr>
            <w:tcW w:w="7513" w:type="dxa"/>
            <w:gridSpan w:val="2"/>
          </w:tcPr>
          <w:p>
            <w:pPr>
              <w:pStyle w:val="21"/>
              <w:ind w:firstLine="0" w:firstLineChars="0"/>
              <w:rPr>
                <w:rFonts w:ascii="Times New Roman" w:hAnsi="Times New Roman"/>
                <w:b/>
                <w:bCs/>
                <w:sz w:val="24"/>
                <w:szCs w:val="24"/>
              </w:rPr>
            </w:pPr>
            <w:r>
              <w:rPr>
                <w:rFonts w:hint="eastAsia" w:ascii="Times New Roman" w:hAnsi="Times New Roman"/>
                <w:b/>
                <w:bCs/>
                <w:sz w:val="24"/>
                <w:szCs w:val="24"/>
              </w:rPr>
              <w:t>混合集中：</w:t>
            </w:r>
          </w:p>
          <w:p>
            <w:pPr>
              <w:pStyle w:val="21"/>
              <w:ind w:firstLine="0" w:firstLineChars="0"/>
              <w:rPr>
                <w:rFonts w:ascii="Times New Roman" w:hAnsi="Times New Roman"/>
                <w:sz w:val="24"/>
                <w:szCs w:val="24"/>
              </w:rPr>
            </w:pPr>
            <w:r>
              <w:rPr>
                <w:rFonts w:hint="eastAsia" w:ascii="Times New Roman" w:hAnsi="Times New Roman"/>
                <w:sz w:val="24"/>
                <w:szCs w:val="24"/>
              </w:rPr>
              <w:t>1、</w:t>
            </w:r>
            <w:r>
              <w:rPr>
                <w:rFonts w:hint="eastAsia" w:ascii="Times New Roman" w:hAnsi="Times New Roman"/>
                <w:sz w:val="24"/>
                <w:szCs w:val="24"/>
                <w:lang w:val="en-US" w:eastAsia="zh-CN"/>
              </w:rPr>
              <w:t>2022年</w:t>
            </w:r>
            <w:r>
              <w:rPr>
                <w:rFonts w:hint="eastAsia" w:ascii="Times New Roman" w:hAnsi="Times New Roman"/>
                <w:sz w:val="24"/>
                <w:szCs w:val="24"/>
              </w:rPr>
              <w:t>中国境内纯碱市场：</w:t>
            </w:r>
          </w:p>
          <w:p>
            <w:pPr>
              <w:pStyle w:val="21"/>
              <w:numPr>
                <w:numId w:val="0"/>
              </w:numPr>
              <w:ind w:leftChars="0" w:firstLine="480" w:firstLineChars="200"/>
              <w:rPr>
                <w:rFonts w:ascii="Times New Roman" w:hAnsi="Times New Roman"/>
                <w:sz w:val="24"/>
                <w:szCs w:val="24"/>
              </w:rPr>
            </w:pPr>
            <w:r>
              <w:rPr>
                <w:rFonts w:hint="eastAsia" w:ascii="Times New Roman" w:hAnsi="Times New Roman"/>
                <w:sz w:val="24"/>
                <w:szCs w:val="24"/>
              </w:rPr>
              <w:t>唐山渐阑珊：</w:t>
            </w:r>
            <w:r>
              <w:rPr>
                <w:rFonts w:ascii="Times New Roman" w:hAnsi="Times New Roman"/>
                <w:sz w:val="24"/>
                <w:szCs w:val="24"/>
              </w:rPr>
              <w:t>10-15%</w:t>
            </w:r>
          </w:p>
          <w:p>
            <w:pPr>
              <w:pStyle w:val="21"/>
              <w:ind w:firstLine="0" w:firstLineChars="0"/>
              <w:rPr>
                <w:rFonts w:ascii="Times New Roman" w:hAnsi="Times New Roman"/>
                <w:sz w:val="24"/>
                <w:szCs w:val="24"/>
              </w:rPr>
            </w:pPr>
            <w:r>
              <w:rPr>
                <w:rFonts w:hint="eastAsia" w:ascii="Times New Roman" w:hAnsi="Times New Roman"/>
                <w:sz w:val="24"/>
                <w:szCs w:val="24"/>
              </w:rPr>
              <w:t>2、</w:t>
            </w:r>
            <w:r>
              <w:rPr>
                <w:rFonts w:hint="eastAsia" w:ascii="Times New Roman" w:hAnsi="Times New Roman"/>
                <w:sz w:val="24"/>
                <w:szCs w:val="24"/>
                <w:lang w:val="en-US" w:eastAsia="zh-CN"/>
              </w:rPr>
              <w:t>2022年</w:t>
            </w:r>
            <w:r>
              <w:rPr>
                <w:rFonts w:hint="eastAsia" w:ascii="Times New Roman" w:hAnsi="Times New Roman"/>
                <w:sz w:val="24"/>
                <w:szCs w:val="24"/>
              </w:rPr>
              <w:t>中国境内粘胶短纤市场：</w:t>
            </w:r>
          </w:p>
          <w:p>
            <w:pPr>
              <w:pStyle w:val="21"/>
              <w:numPr>
                <w:numId w:val="0"/>
              </w:numPr>
              <w:ind w:leftChars="0" w:firstLine="480" w:firstLineChars="200"/>
              <w:rPr>
                <w:rFonts w:ascii="Times New Roman" w:hAnsi="Times New Roman"/>
                <w:sz w:val="24"/>
                <w:szCs w:val="24"/>
              </w:rPr>
            </w:pPr>
            <w:r>
              <w:rPr>
                <w:rFonts w:hint="eastAsia" w:ascii="Times New Roman" w:hAnsi="Times New Roman"/>
                <w:sz w:val="24"/>
                <w:szCs w:val="24"/>
              </w:rPr>
              <w:t>唐山渐阑珊：</w:t>
            </w:r>
            <w:r>
              <w:rPr>
                <w:rFonts w:ascii="Times New Roman" w:hAnsi="Times New Roman"/>
                <w:sz w:val="24"/>
                <w:szCs w:val="24"/>
              </w:rPr>
              <w:t>15-20%</w:t>
            </w:r>
          </w:p>
          <w:p>
            <w:pPr>
              <w:pStyle w:val="21"/>
              <w:ind w:firstLine="0" w:firstLineChars="0"/>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w:t>
            </w:r>
            <w:r>
              <w:rPr>
                <w:rFonts w:hint="eastAsia" w:ascii="Times New Roman" w:hAnsi="Times New Roman"/>
                <w:sz w:val="24"/>
                <w:szCs w:val="24"/>
                <w:lang w:val="en-US" w:eastAsia="zh-CN"/>
              </w:rPr>
              <w:t>2022年</w:t>
            </w:r>
            <w:r>
              <w:rPr>
                <w:rFonts w:hint="eastAsia" w:ascii="Times New Roman" w:hAnsi="Times New Roman"/>
                <w:sz w:val="24"/>
                <w:szCs w:val="24"/>
              </w:rPr>
              <w:t>中国境内聚氯乙烯市场：</w:t>
            </w:r>
          </w:p>
          <w:p>
            <w:pPr>
              <w:pStyle w:val="21"/>
              <w:numPr>
                <w:numId w:val="0"/>
              </w:numPr>
              <w:ind w:leftChars="0" w:firstLine="480" w:firstLineChars="200"/>
              <w:rPr>
                <w:rFonts w:ascii="Times New Roman" w:hAnsi="Times New Roman"/>
                <w:sz w:val="24"/>
                <w:szCs w:val="24"/>
              </w:rPr>
            </w:pPr>
            <w:bookmarkStart w:id="0" w:name="_GoBack"/>
            <w:bookmarkEnd w:id="0"/>
            <w:r>
              <w:rPr>
                <w:rFonts w:hint="eastAsia" w:ascii="Times New Roman" w:hAnsi="Times New Roman"/>
                <w:sz w:val="24"/>
                <w:szCs w:val="24"/>
              </w:rPr>
              <w:t>唐山渐阑珊：</w:t>
            </w:r>
            <w:r>
              <w:rPr>
                <w:rFonts w:ascii="Times New Roman" w:hAnsi="Times New Roman"/>
                <w:sz w:val="24"/>
                <w:szCs w:val="24"/>
              </w:rPr>
              <w:t>0-5%</w:t>
            </w:r>
          </w:p>
        </w:tc>
      </w:tr>
    </w:tbl>
    <w:p>
      <w:pPr>
        <w:snapToGrid w:val="0"/>
        <w:spacing w:line="240" w:lineRule="exact"/>
        <w:jc w:val="left"/>
        <w:rPr>
          <w:rFonts w:ascii="Times New Roman" w:hAnsi="Times New Roman"/>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Simplified Arabic">
    <w:altName w:val="Times New Roman"/>
    <w:panose1 w:val="00000000000000000000"/>
    <w:charset w:val="B2"/>
    <w:family w:val="roman"/>
    <w:pitch w:val="default"/>
    <w:sig w:usb0="00000000" w:usb1="00000000" w:usb2="00000008" w:usb3="00000000" w:csb0="00000041" w:csb1="00000000"/>
  </w:font>
  <w:font w:name="PMingLiU">
    <w:altName w:val="文泉驿微米黑"/>
    <w:panose1 w:val="02010601000101010101"/>
    <w:charset w:val="88"/>
    <w:family w:val="roman"/>
    <w:pitch w:val="default"/>
    <w:sig w:usb0="00000000" w:usb1="00000000" w:usb2="00000016" w:usb3="00000000" w:csb0="0010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9376438"/>
      <w:docPartObj>
        <w:docPartGallery w:val="autotext"/>
      </w:docPartObj>
    </w:sdtPr>
    <w:sdtEndPr>
      <w:rPr>
        <w:rFonts w:ascii="Times New Roman" w:hAnsi="Times New Roman"/>
      </w:rPr>
    </w:sdtEndPr>
    <w:sdtContent>
      <w:sdt>
        <w:sdtPr>
          <w:id w:val="1728636285"/>
          <w:docPartObj>
            <w:docPartGallery w:val="autotext"/>
          </w:docPartObj>
        </w:sdtPr>
        <w:sdtEndPr>
          <w:rPr>
            <w:rFonts w:ascii="Times New Roman" w:hAnsi="Times New Roman"/>
          </w:rPr>
        </w:sdtEndPr>
        <w:sdtContent>
          <w:p>
            <w:pPr>
              <w:pStyle w:val="6"/>
              <w:jc w:val="center"/>
              <w:rPr>
                <w:rFonts w:ascii="Times New Roman" w:hAnsi="Times New Roman"/>
              </w:rPr>
            </w:pPr>
            <w:r>
              <w:rPr>
                <w:rFonts w:ascii="Times New Roman" w:hAnsi="Times New Roman"/>
                <w:lang w:val="zh-CN"/>
              </w:rPr>
              <w:t xml:space="preserve"> </w:t>
            </w:r>
            <w:r>
              <w:rPr>
                <w:rFonts w:ascii="Times New Roman" w:hAnsi="Times New Roman"/>
                <w:b/>
                <w:bCs/>
                <w:sz w:val="24"/>
                <w:szCs w:val="24"/>
              </w:rPr>
              <w:fldChar w:fldCharType="begin"/>
            </w:r>
            <w:r>
              <w:rPr>
                <w:rFonts w:ascii="Times New Roman" w:hAnsi="Times New Roman"/>
                <w:b/>
                <w:bCs/>
              </w:rPr>
              <w:instrText xml:space="preserve">PAGE</w:instrText>
            </w:r>
            <w:r>
              <w:rPr>
                <w:rFonts w:ascii="Times New Roman" w:hAnsi="Times New Roman"/>
                <w:b/>
                <w:bCs/>
                <w:sz w:val="24"/>
                <w:szCs w:val="24"/>
              </w:rPr>
              <w:fldChar w:fldCharType="separate"/>
            </w:r>
            <w:r>
              <w:rPr>
                <w:rFonts w:ascii="Times New Roman" w:hAnsi="Times New Roman"/>
                <w:b/>
                <w:bCs/>
              </w:rPr>
              <w:t>1</w:t>
            </w:r>
            <w:r>
              <w:rPr>
                <w:rFonts w:ascii="Times New Roman" w:hAnsi="Times New Roman"/>
                <w:b/>
                <w:bCs/>
                <w:sz w:val="24"/>
                <w:szCs w:val="24"/>
              </w:rPr>
              <w:fldChar w:fldCharType="end"/>
            </w:r>
            <w:r>
              <w:rPr>
                <w:rFonts w:ascii="Times New Roman" w:hAnsi="Times New Roman"/>
                <w:lang w:val="zh-CN"/>
              </w:rPr>
              <w:t xml:space="preserve"> / </w:t>
            </w:r>
            <w:r>
              <w:rPr>
                <w:rFonts w:ascii="Times New Roman" w:hAnsi="Times New Roman"/>
                <w:b/>
                <w:bCs/>
                <w:sz w:val="24"/>
                <w:szCs w:val="24"/>
              </w:rPr>
              <w:fldChar w:fldCharType="begin"/>
            </w:r>
            <w:r>
              <w:rPr>
                <w:rFonts w:ascii="Times New Roman" w:hAnsi="Times New Roman"/>
                <w:b/>
                <w:bCs/>
              </w:rPr>
              <w:instrText xml:space="preserve">NUMPAGES</w:instrText>
            </w:r>
            <w:r>
              <w:rPr>
                <w:rFonts w:ascii="Times New Roman" w:hAnsi="Times New Roman"/>
                <w:b/>
                <w:bCs/>
                <w:sz w:val="24"/>
                <w:szCs w:val="24"/>
              </w:rPr>
              <w:fldChar w:fldCharType="separate"/>
            </w:r>
            <w:r>
              <w:rPr>
                <w:rFonts w:ascii="Times New Roman" w:hAnsi="Times New Roman"/>
                <w:b/>
                <w:bCs/>
              </w:rPr>
              <w:t>1</w:t>
            </w:r>
            <w:r>
              <w:rPr>
                <w:rFonts w:ascii="Times New Roman" w:hAnsi="Times New Roman"/>
                <w:b/>
                <w:bCs/>
                <w:sz w:val="24"/>
                <w:szCs w:val="24"/>
              </w:rPr>
              <w:fldChar w:fldCharType="end"/>
            </w:r>
          </w:p>
        </w:sdtContent>
      </w:sdt>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83A7C"/>
    <w:multiLevelType w:val="multilevel"/>
    <w:tmpl w:val="0CA83A7C"/>
    <w:lvl w:ilvl="0" w:tentative="0">
      <w:start w:val="1"/>
      <w:numFmt w:val="decimal"/>
      <w:lvlText w:val="%1."/>
      <w:lvlJc w:val="left"/>
      <w:pPr>
        <w:ind w:left="360" w:hanging="36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095"/>
    <w:rsid w:val="000051DE"/>
    <w:rsid w:val="00005B69"/>
    <w:rsid w:val="00006080"/>
    <w:rsid w:val="0000684D"/>
    <w:rsid w:val="0002587C"/>
    <w:rsid w:val="00036A9D"/>
    <w:rsid w:val="00037213"/>
    <w:rsid w:val="00040519"/>
    <w:rsid w:val="0004470B"/>
    <w:rsid w:val="00044FE2"/>
    <w:rsid w:val="00045507"/>
    <w:rsid w:val="00052AB9"/>
    <w:rsid w:val="0005594E"/>
    <w:rsid w:val="00057046"/>
    <w:rsid w:val="00065DB3"/>
    <w:rsid w:val="000704CC"/>
    <w:rsid w:val="000735FA"/>
    <w:rsid w:val="00073BBB"/>
    <w:rsid w:val="0007651B"/>
    <w:rsid w:val="00082738"/>
    <w:rsid w:val="00083BCB"/>
    <w:rsid w:val="00087D30"/>
    <w:rsid w:val="000917F0"/>
    <w:rsid w:val="00091881"/>
    <w:rsid w:val="00094095"/>
    <w:rsid w:val="000A3CA7"/>
    <w:rsid w:val="000A50DA"/>
    <w:rsid w:val="000B0EC8"/>
    <w:rsid w:val="000C5BC7"/>
    <w:rsid w:val="000E3C19"/>
    <w:rsid w:val="000E6100"/>
    <w:rsid w:val="000E7FC9"/>
    <w:rsid w:val="000F3FA4"/>
    <w:rsid w:val="00100B60"/>
    <w:rsid w:val="001131A2"/>
    <w:rsid w:val="00113543"/>
    <w:rsid w:val="00117B9E"/>
    <w:rsid w:val="00130E26"/>
    <w:rsid w:val="00136AA7"/>
    <w:rsid w:val="00137BCF"/>
    <w:rsid w:val="001417D8"/>
    <w:rsid w:val="00146DAF"/>
    <w:rsid w:val="0015166A"/>
    <w:rsid w:val="00165964"/>
    <w:rsid w:val="00165BFA"/>
    <w:rsid w:val="001860C8"/>
    <w:rsid w:val="001861FC"/>
    <w:rsid w:val="001913F9"/>
    <w:rsid w:val="00192C2C"/>
    <w:rsid w:val="00193065"/>
    <w:rsid w:val="001A6CB8"/>
    <w:rsid w:val="001C1B23"/>
    <w:rsid w:val="001C3A02"/>
    <w:rsid w:val="001D1951"/>
    <w:rsid w:val="001D2941"/>
    <w:rsid w:val="001D3D71"/>
    <w:rsid w:val="001E393B"/>
    <w:rsid w:val="0020313A"/>
    <w:rsid w:val="0021257D"/>
    <w:rsid w:val="002128F6"/>
    <w:rsid w:val="002158DC"/>
    <w:rsid w:val="002219C7"/>
    <w:rsid w:val="00231DCC"/>
    <w:rsid w:val="00233AB0"/>
    <w:rsid w:val="00245776"/>
    <w:rsid w:val="002527CC"/>
    <w:rsid w:val="00254F82"/>
    <w:rsid w:val="00256DC5"/>
    <w:rsid w:val="00262658"/>
    <w:rsid w:val="00265114"/>
    <w:rsid w:val="00266A6B"/>
    <w:rsid w:val="00266FEB"/>
    <w:rsid w:val="00281E8A"/>
    <w:rsid w:val="0029252D"/>
    <w:rsid w:val="002937BD"/>
    <w:rsid w:val="002C1804"/>
    <w:rsid w:val="002D7B05"/>
    <w:rsid w:val="002E2C9F"/>
    <w:rsid w:val="002E5CA0"/>
    <w:rsid w:val="002E63FA"/>
    <w:rsid w:val="002E720A"/>
    <w:rsid w:val="002E7564"/>
    <w:rsid w:val="002F2D60"/>
    <w:rsid w:val="002F3007"/>
    <w:rsid w:val="00302FE1"/>
    <w:rsid w:val="003048E8"/>
    <w:rsid w:val="00305FFE"/>
    <w:rsid w:val="003061D7"/>
    <w:rsid w:val="00307976"/>
    <w:rsid w:val="0031063E"/>
    <w:rsid w:val="0031093F"/>
    <w:rsid w:val="003145BC"/>
    <w:rsid w:val="00316B15"/>
    <w:rsid w:val="00321762"/>
    <w:rsid w:val="0032355A"/>
    <w:rsid w:val="003257C1"/>
    <w:rsid w:val="003335C6"/>
    <w:rsid w:val="003358F3"/>
    <w:rsid w:val="00350497"/>
    <w:rsid w:val="00353B55"/>
    <w:rsid w:val="00354F14"/>
    <w:rsid w:val="0036004C"/>
    <w:rsid w:val="00366B70"/>
    <w:rsid w:val="003745DB"/>
    <w:rsid w:val="003975EE"/>
    <w:rsid w:val="003A386D"/>
    <w:rsid w:val="003A420A"/>
    <w:rsid w:val="003C001B"/>
    <w:rsid w:val="003C1802"/>
    <w:rsid w:val="003C306B"/>
    <w:rsid w:val="003C75D7"/>
    <w:rsid w:val="003D3128"/>
    <w:rsid w:val="003D60DB"/>
    <w:rsid w:val="003F03C8"/>
    <w:rsid w:val="003F170C"/>
    <w:rsid w:val="003F68A3"/>
    <w:rsid w:val="004030E1"/>
    <w:rsid w:val="00410280"/>
    <w:rsid w:val="00416DCD"/>
    <w:rsid w:val="004207F2"/>
    <w:rsid w:val="004237E4"/>
    <w:rsid w:val="00427074"/>
    <w:rsid w:val="004270B6"/>
    <w:rsid w:val="00427285"/>
    <w:rsid w:val="004306A0"/>
    <w:rsid w:val="00445D11"/>
    <w:rsid w:val="00445F6B"/>
    <w:rsid w:val="004539ED"/>
    <w:rsid w:val="00462174"/>
    <w:rsid w:val="004627D6"/>
    <w:rsid w:val="00472EED"/>
    <w:rsid w:val="00474D20"/>
    <w:rsid w:val="00474EBE"/>
    <w:rsid w:val="00497E7B"/>
    <w:rsid w:val="004A608A"/>
    <w:rsid w:val="004A7FE0"/>
    <w:rsid w:val="004B00C8"/>
    <w:rsid w:val="004B3A56"/>
    <w:rsid w:val="004C2586"/>
    <w:rsid w:val="004C3B58"/>
    <w:rsid w:val="004D5AC1"/>
    <w:rsid w:val="004E1350"/>
    <w:rsid w:val="004F382D"/>
    <w:rsid w:val="00501BAD"/>
    <w:rsid w:val="00507D9C"/>
    <w:rsid w:val="00521ED5"/>
    <w:rsid w:val="0052375D"/>
    <w:rsid w:val="00525467"/>
    <w:rsid w:val="00527F6A"/>
    <w:rsid w:val="005374B9"/>
    <w:rsid w:val="00541ACB"/>
    <w:rsid w:val="00557102"/>
    <w:rsid w:val="0056382A"/>
    <w:rsid w:val="00563A4C"/>
    <w:rsid w:val="00566CC7"/>
    <w:rsid w:val="00570014"/>
    <w:rsid w:val="00574B4E"/>
    <w:rsid w:val="00574F2D"/>
    <w:rsid w:val="0058057F"/>
    <w:rsid w:val="00582539"/>
    <w:rsid w:val="005830FE"/>
    <w:rsid w:val="00584F2F"/>
    <w:rsid w:val="005960C5"/>
    <w:rsid w:val="00597138"/>
    <w:rsid w:val="005A2C96"/>
    <w:rsid w:val="005B533D"/>
    <w:rsid w:val="005C3D32"/>
    <w:rsid w:val="005C449E"/>
    <w:rsid w:val="005C74EA"/>
    <w:rsid w:val="005D087D"/>
    <w:rsid w:val="005D1309"/>
    <w:rsid w:val="005D1B7F"/>
    <w:rsid w:val="005E5B91"/>
    <w:rsid w:val="005E5FC7"/>
    <w:rsid w:val="005F167B"/>
    <w:rsid w:val="005F5816"/>
    <w:rsid w:val="005F5FFA"/>
    <w:rsid w:val="00604BA3"/>
    <w:rsid w:val="0060698A"/>
    <w:rsid w:val="006113D3"/>
    <w:rsid w:val="00613895"/>
    <w:rsid w:val="006157E5"/>
    <w:rsid w:val="00616F24"/>
    <w:rsid w:val="00621AFF"/>
    <w:rsid w:val="006265D8"/>
    <w:rsid w:val="006300C0"/>
    <w:rsid w:val="006408AB"/>
    <w:rsid w:val="00641CD4"/>
    <w:rsid w:val="006447F2"/>
    <w:rsid w:val="00644C5B"/>
    <w:rsid w:val="00645D6F"/>
    <w:rsid w:val="00661556"/>
    <w:rsid w:val="006670A5"/>
    <w:rsid w:val="00672BDB"/>
    <w:rsid w:val="0067330C"/>
    <w:rsid w:val="00675286"/>
    <w:rsid w:val="00692DA5"/>
    <w:rsid w:val="00693AAA"/>
    <w:rsid w:val="00695334"/>
    <w:rsid w:val="006A4D58"/>
    <w:rsid w:val="006A4F76"/>
    <w:rsid w:val="006A50B0"/>
    <w:rsid w:val="006A5728"/>
    <w:rsid w:val="006B49BF"/>
    <w:rsid w:val="006B7468"/>
    <w:rsid w:val="006C0FDA"/>
    <w:rsid w:val="006C0FEE"/>
    <w:rsid w:val="006C3446"/>
    <w:rsid w:val="006C6C5D"/>
    <w:rsid w:val="006D0734"/>
    <w:rsid w:val="006D6449"/>
    <w:rsid w:val="006D71E0"/>
    <w:rsid w:val="006E0621"/>
    <w:rsid w:val="006E4C68"/>
    <w:rsid w:val="00720227"/>
    <w:rsid w:val="00720679"/>
    <w:rsid w:val="007272F9"/>
    <w:rsid w:val="00734239"/>
    <w:rsid w:val="00735490"/>
    <w:rsid w:val="007364E2"/>
    <w:rsid w:val="00745373"/>
    <w:rsid w:val="007453EC"/>
    <w:rsid w:val="0074694B"/>
    <w:rsid w:val="00747E9F"/>
    <w:rsid w:val="00752C63"/>
    <w:rsid w:val="007543A3"/>
    <w:rsid w:val="00760B27"/>
    <w:rsid w:val="00761154"/>
    <w:rsid w:val="00762CDE"/>
    <w:rsid w:val="00765468"/>
    <w:rsid w:val="00785C5F"/>
    <w:rsid w:val="00794EE3"/>
    <w:rsid w:val="007A0249"/>
    <w:rsid w:val="007A154C"/>
    <w:rsid w:val="007C000E"/>
    <w:rsid w:val="007C7803"/>
    <w:rsid w:val="007D0270"/>
    <w:rsid w:val="007E5AB1"/>
    <w:rsid w:val="008010AD"/>
    <w:rsid w:val="0080386C"/>
    <w:rsid w:val="00807C33"/>
    <w:rsid w:val="008110BD"/>
    <w:rsid w:val="00813550"/>
    <w:rsid w:val="0081400D"/>
    <w:rsid w:val="008354FF"/>
    <w:rsid w:val="0084303C"/>
    <w:rsid w:val="0084664F"/>
    <w:rsid w:val="0084728A"/>
    <w:rsid w:val="0086235D"/>
    <w:rsid w:val="008736FC"/>
    <w:rsid w:val="008750C5"/>
    <w:rsid w:val="008764AD"/>
    <w:rsid w:val="00877D76"/>
    <w:rsid w:val="00885D99"/>
    <w:rsid w:val="008926BD"/>
    <w:rsid w:val="00892E30"/>
    <w:rsid w:val="0089745C"/>
    <w:rsid w:val="008A436E"/>
    <w:rsid w:val="008A7ED7"/>
    <w:rsid w:val="008C06DD"/>
    <w:rsid w:val="008C10CC"/>
    <w:rsid w:val="008E44E6"/>
    <w:rsid w:val="008E5AC1"/>
    <w:rsid w:val="008F18B2"/>
    <w:rsid w:val="008F6050"/>
    <w:rsid w:val="008F634B"/>
    <w:rsid w:val="00900557"/>
    <w:rsid w:val="009121E2"/>
    <w:rsid w:val="009134D0"/>
    <w:rsid w:val="009172C2"/>
    <w:rsid w:val="0093344B"/>
    <w:rsid w:val="00941D44"/>
    <w:rsid w:val="00944ED5"/>
    <w:rsid w:val="0095347A"/>
    <w:rsid w:val="00953F88"/>
    <w:rsid w:val="00960D56"/>
    <w:rsid w:val="00963699"/>
    <w:rsid w:val="00964D91"/>
    <w:rsid w:val="009733B4"/>
    <w:rsid w:val="0097529A"/>
    <w:rsid w:val="00981363"/>
    <w:rsid w:val="00985230"/>
    <w:rsid w:val="009912F8"/>
    <w:rsid w:val="00997099"/>
    <w:rsid w:val="009A7BF2"/>
    <w:rsid w:val="009B164D"/>
    <w:rsid w:val="009B22D1"/>
    <w:rsid w:val="009B5555"/>
    <w:rsid w:val="009B736D"/>
    <w:rsid w:val="009C1D9D"/>
    <w:rsid w:val="009C5ACB"/>
    <w:rsid w:val="009E0C70"/>
    <w:rsid w:val="009E544B"/>
    <w:rsid w:val="009F7FE9"/>
    <w:rsid w:val="00A042B2"/>
    <w:rsid w:val="00A43A3E"/>
    <w:rsid w:val="00A530A9"/>
    <w:rsid w:val="00A67610"/>
    <w:rsid w:val="00A73519"/>
    <w:rsid w:val="00A73EC0"/>
    <w:rsid w:val="00A77BD3"/>
    <w:rsid w:val="00A8557B"/>
    <w:rsid w:val="00A94AF7"/>
    <w:rsid w:val="00AA1A78"/>
    <w:rsid w:val="00AA547D"/>
    <w:rsid w:val="00AB1BC4"/>
    <w:rsid w:val="00AB563D"/>
    <w:rsid w:val="00AD260D"/>
    <w:rsid w:val="00AD646B"/>
    <w:rsid w:val="00AD735B"/>
    <w:rsid w:val="00AE1DA3"/>
    <w:rsid w:val="00AE1EC1"/>
    <w:rsid w:val="00AE4546"/>
    <w:rsid w:val="00AE4C10"/>
    <w:rsid w:val="00AF0BB8"/>
    <w:rsid w:val="00AF2CFA"/>
    <w:rsid w:val="00B01090"/>
    <w:rsid w:val="00B019CB"/>
    <w:rsid w:val="00B13E71"/>
    <w:rsid w:val="00B327C3"/>
    <w:rsid w:val="00B34D5C"/>
    <w:rsid w:val="00B34D88"/>
    <w:rsid w:val="00B357DC"/>
    <w:rsid w:val="00B44DB6"/>
    <w:rsid w:val="00B54881"/>
    <w:rsid w:val="00B60E5E"/>
    <w:rsid w:val="00B810F0"/>
    <w:rsid w:val="00B85506"/>
    <w:rsid w:val="00B8768F"/>
    <w:rsid w:val="00BA0750"/>
    <w:rsid w:val="00BA16D2"/>
    <w:rsid w:val="00BA46A2"/>
    <w:rsid w:val="00BA4F7F"/>
    <w:rsid w:val="00BA5FD5"/>
    <w:rsid w:val="00BA6B27"/>
    <w:rsid w:val="00BA6F07"/>
    <w:rsid w:val="00BA7437"/>
    <w:rsid w:val="00BB2377"/>
    <w:rsid w:val="00BB3119"/>
    <w:rsid w:val="00BB3798"/>
    <w:rsid w:val="00BB4C43"/>
    <w:rsid w:val="00BC44C2"/>
    <w:rsid w:val="00BC6BEF"/>
    <w:rsid w:val="00BC768A"/>
    <w:rsid w:val="00BD3D34"/>
    <w:rsid w:val="00BD6CBA"/>
    <w:rsid w:val="00BD6EBE"/>
    <w:rsid w:val="00BE4856"/>
    <w:rsid w:val="00BF0D84"/>
    <w:rsid w:val="00BF6C60"/>
    <w:rsid w:val="00BF7F17"/>
    <w:rsid w:val="00C068D5"/>
    <w:rsid w:val="00C107E0"/>
    <w:rsid w:val="00C20325"/>
    <w:rsid w:val="00C30030"/>
    <w:rsid w:val="00C318CE"/>
    <w:rsid w:val="00C52346"/>
    <w:rsid w:val="00C55F43"/>
    <w:rsid w:val="00C65DC8"/>
    <w:rsid w:val="00C67DDE"/>
    <w:rsid w:val="00C75B25"/>
    <w:rsid w:val="00C76979"/>
    <w:rsid w:val="00C76F0E"/>
    <w:rsid w:val="00C8184D"/>
    <w:rsid w:val="00C84314"/>
    <w:rsid w:val="00C9068E"/>
    <w:rsid w:val="00CA51EF"/>
    <w:rsid w:val="00CB1BCD"/>
    <w:rsid w:val="00CB7216"/>
    <w:rsid w:val="00CD148B"/>
    <w:rsid w:val="00CD1C09"/>
    <w:rsid w:val="00CD25EE"/>
    <w:rsid w:val="00CD2BEC"/>
    <w:rsid w:val="00CD4910"/>
    <w:rsid w:val="00CD6C9E"/>
    <w:rsid w:val="00CF653E"/>
    <w:rsid w:val="00D001A9"/>
    <w:rsid w:val="00D053F3"/>
    <w:rsid w:val="00D11610"/>
    <w:rsid w:val="00D11B8F"/>
    <w:rsid w:val="00D158AF"/>
    <w:rsid w:val="00D1634A"/>
    <w:rsid w:val="00D21777"/>
    <w:rsid w:val="00D2453A"/>
    <w:rsid w:val="00D251BE"/>
    <w:rsid w:val="00D339EF"/>
    <w:rsid w:val="00D36A09"/>
    <w:rsid w:val="00D370A7"/>
    <w:rsid w:val="00D419DE"/>
    <w:rsid w:val="00D451A4"/>
    <w:rsid w:val="00D515E7"/>
    <w:rsid w:val="00D63436"/>
    <w:rsid w:val="00D73A38"/>
    <w:rsid w:val="00D87D27"/>
    <w:rsid w:val="00D9230D"/>
    <w:rsid w:val="00DA04AB"/>
    <w:rsid w:val="00DA3B19"/>
    <w:rsid w:val="00DB1D0A"/>
    <w:rsid w:val="00DB5ECC"/>
    <w:rsid w:val="00DB738F"/>
    <w:rsid w:val="00DC23B5"/>
    <w:rsid w:val="00DC70AB"/>
    <w:rsid w:val="00DD1C7B"/>
    <w:rsid w:val="00DE39D7"/>
    <w:rsid w:val="00DE7DBD"/>
    <w:rsid w:val="00DF4BCE"/>
    <w:rsid w:val="00E01A24"/>
    <w:rsid w:val="00E04B38"/>
    <w:rsid w:val="00E06439"/>
    <w:rsid w:val="00E11C0D"/>
    <w:rsid w:val="00E1347C"/>
    <w:rsid w:val="00E21F07"/>
    <w:rsid w:val="00E25016"/>
    <w:rsid w:val="00E32A0C"/>
    <w:rsid w:val="00E34BA1"/>
    <w:rsid w:val="00E54A70"/>
    <w:rsid w:val="00E54B29"/>
    <w:rsid w:val="00E659D6"/>
    <w:rsid w:val="00E70B36"/>
    <w:rsid w:val="00E71045"/>
    <w:rsid w:val="00E85DDF"/>
    <w:rsid w:val="00E91187"/>
    <w:rsid w:val="00EA2EF6"/>
    <w:rsid w:val="00EA7F67"/>
    <w:rsid w:val="00EB0EE6"/>
    <w:rsid w:val="00EB1191"/>
    <w:rsid w:val="00EB1A34"/>
    <w:rsid w:val="00EC669A"/>
    <w:rsid w:val="00ED21B1"/>
    <w:rsid w:val="00ED3BCD"/>
    <w:rsid w:val="00ED4254"/>
    <w:rsid w:val="00EE2784"/>
    <w:rsid w:val="00EE4AF0"/>
    <w:rsid w:val="00EF12DE"/>
    <w:rsid w:val="00EF2FDA"/>
    <w:rsid w:val="00F12411"/>
    <w:rsid w:val="00F15744"/>
    <w:rsid w:val="00F16269"/>
    <w:rsid w:val="00F1798A"/>
    <w:rsid w:val="00F234B2"/>
    <w:rsid w:val="00F26A0F"/>
    <w:rsid w:val="00F32049"/>
    <w:rsid w:val="00F3620B"/>
    <w:rsid w:val="00F418F4"/>
    <w:rsid w:val="00F41E5F"/>
    <w:rsid w:val="00F42BAC"/>
    <w:rsid w:val="00F4518C"/>
    <w:rsid w:val="00F5086B"/>
    <w:rsid w:val="00F54709"/>
    <w:rsid w:val="00F57A49"/>
    <w:rsid w:val="00F87C1F"/>
    <w:rsid w:val="00F93423"/>
    <w:rsid w:val="00FA5A2F"/>
    <w:rsid w:val="00FB22F7"/>
    <w:rsid w:val="00FB7045"/>
    <w:rsid w:val="00FC13C8"/>
    <w:rsid w:val="00FC5B42"/>
    <w:rsid w:val="00FD0861"/>
    <w:rsid w:val="00FD4A2C"/>
    <w:rsid w:val="00FE0669"/>
    <w:rsid w:val="00FE3C66"/>
    <w:rsid w:val="00FE4CAC"/>
    <w:rsid w:val="00FF2D6D"/>
    <w:rsid w:val="2DB3EEEC"/>
    <w:rsid w:val="3FDFC3DD"/>
    <w:rsid w:val="6EEFD04A"/>
    <w:rsid w:val="7D5D8850"/>
    <w:rsid w:val="BDEE3412"/>
    <w:rsid w:val="BFFC1FD3"/>
    <w:rsid w:val="CFEF92C3"/>
    <w:rsid w:val="FBBBCF72"/>
    <w:rsid w:val="FC95AEEF"/>
    <w:rsid w:val="FF7F47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0"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3"/>
    <w:semiHidden/>
    <w:unhideWhenUsed/>
    <w:qFormat/>
    <w:uiPriority w:val="99"/>
    <w:pPr>
      <w:jc w:val="left"/>
    </w:pPr>
  </w:style>
  <w:style w:type="paragraph" w:styleId="3">
    <w:name w:val="Body Text"/>
    <w:basedOn w:val="1"/>
    <w:link w:val="26"/>
    <w:qFormat/>
    <w:uiPriority w:val="0"/>
    <w:pPr>
      <w:widowControl/>
      <w:spacing w:after="240"/>
    </w:pPr>
    <w:rPr>
      <w:rFonts w:ascii="Times New Roman" w:hAnsi="Times New Roman" w:cs="Simplified Arabic"/>
      <w:kern w:val="0"/>
      <w:sz w:val="24"/>
      <w:szCs w:val="24"/>
      <w:lang w:val="en-GB" w:eastAsia="en-GB" w:bidi="ar-AE"/>
    </w:rPr>
  </w:style>
  <w:style w:type="paragraph" w:styleId="4">
    <w:name w:val="endnote text"/>
    <w:basedOn w:val="1"/>
    <w:link w:val="16"/>
    <w:semiHidden/>
    <w:unhideWhenUsed/>
    <w:qFormat/>
    <w:uiPriority w:val="99"/>
    <w:pPr>
      <w:snapToGrid w:val="0"/>
      <w:jc w:val="left"/>
    </w:pPr>
  </w:style>
  <w:style w:type="paragraph" w:styleId="5">
    <w:name w:val="Balloon Text"/>
    <w:basedOn w:val="1"/>
    <w:link w:val="19"/>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2"/>
    <w:semiHidden/>
    <w:qFormat/>
    <w:uiPriority w:val="99"/>
    <w:pPr>
      <w:snapToGrid w:val="0"/>
      <w:jc w:val="left"/>
    </w:pPr>
    <w:rPr>
      <w:rFonts w:ascii="Times New Roman" w:hAnsi="Times New Roman" w:eastAsia="PMingLiU"/>
      <w:sz w:val="20"/>
      <w:szCs w:val="20"/>
      <w:lang w:eastAsia="zh-TW"/>
    </w:rPr>
  </w:style>
  <w:style w:type="paragraph" w:styleId="9">
    <w:name w:val="annotation subject"/>
    <w:basedOn w:val="2"/>
    <w:next w:val="2"/>
    <w:link w:val="24"/>
    <w:semiHidden/>
    <w:unhideWhenUsed/>
    <w:qFormat/>
    <w:uiPriority w:val="99"/>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ndnote reference"/>
    <w:semiHidden/>
    <w:unhideWhenUsed/>
    <w:qFormat/>
    <w:uiPriority w:val="99"/>
    <w:rPr>
      <w:vertAlign w:val="superscript"/>
    </w:rPr>
  </w:style>
  <w:style w:type="character" w:styleId="14">
    <w:name w:val="annotation reference"/>
    <w:basedOn w:val="12"/>
    <w:unhideWhenUsed/>
    <w:qFormat/>
    <w:uiPriority w:val="0"/>
    <w:rPr>
      <w:sz w:val="21"/>
      <w:szCs w:val="21"/>
    </w:rPr>
  </w:style>
  <w:style w:type="character" w:styleId="15">
    <w:name w:val="footnote reference"/>
    <w:semiHidden/>
    <w:unhideWhenUsed/>
    <w:qFormat/>
    <w:uiPriority w:val="99"/>
    <w:rPr>
      <w:vertAlign w:val="superscript"/>
    </w:rPr>
  </w:style>
  <w:style w:type="character" w:customStyle="1" w:styleId="16">
    <w:name w:val="尾注文本 字符"/>
    <w:basedOn w:val="12"/>
    <w:link w:val="4"/>
    <w:semiHidden/>
    <w:qFormat/>
    <w:uiPriority w:val="99"/>
  </w:style>
  <w:style w:type="character" w:customStyle="1" w:styleId="17">
    <w:name w:val="页眉 字符"/>
    <w:link w:val="7"/>
    <w:qFormat/>
    <w:uiPriority w:val="99"/>
    <w:rPr>
      <w:sz w:val="18"/>
      <w:szCs w:val="18"/>
    </w:rPr>
  </w:style>
  <w:style w:type="character" w:customStyle="1" w:styleId="18">
    <w:name w:val="页脚 字符"/>
    <w:link w:val="6"/>
    <w:qFormat/>
    <w:uiPriority w:val="99"/>
    <w:rPr>
      <w:sz w:val="18"/>
      <w:szCs w:val="18"/>
    </w:rPr>
  </w:style>
  <w:style w:type="character" w:customStyle="1" w:styleId="19">
    <w:name w:val="批注框文本 字符"/>
    <w:link w:val="5"/>
    <w:semiHidden/>
    <w:qFormat/>
    <w:uiPriority w:val="99"/>
    <w:rPr>
      <w:kern w:val="2"/>
      <w:sz w:val="18"/>
      <w:szCs w:val="18"/>
    </w:rPr>
  </w:style>
  <w:style w:type="paragraph" w:customStyle="1" w:styleId="20">
    <w:name w:val="列出段落1"/>
    <w:basedOn w:val="1"/>
    <w:qFormat/>
    <w:uiPriority w:val="34"/>
    <w:pPr>
      <w:ind w:firstLine="420" w:firstLineChars="200"/>
    </w:pPr>
  </w:style>
  <w:style w:type="paragraph" w:styleId="21">
    <w:name w:val="List Paragraph"/>
    <w:basedOn w:val="1"/>
    <w:qFormat/>
    <w:uiPriority w:val="34"/>
    <w:pPr>
      <w:ind w:firstLine="420" w:firstLineChars="200"/>
    </w:pPr>
  </w:style>
  <w:style w:type="character" w:customStyle="1" w:styleId="22">
    <w:name w:val="脚注文本 字符"/>
    <w:link w:val="8"/>
    <w:semiHidden/>
    <w:qFormat/>
    <w:uiPriority w:val="99"/>
    <w:rPr>
      <w:rFonts w:ascii="Times New Roman" w:hAnsi="Times New Roman" w:eastAsia="PMingLiU"/>
      <w:kern w:val="2"/>
      <w:lang w:eastAsia="zh-TW"/>
    </w:rPr>
  </w:style>
  <w:style w:type="character" w:customStyle="1" w:styleId="23">
    <w:name w:val="批注文字 字符"/>
    <w:basedOn w:val="12"/>
    <w:link w:val="2"/>
    <w:semiHidden/>
    <w:qFormat/>
    <w:uiPriority w:val="99"/>
    <w:rPr>
      <w:kern w:val="2"/>
      <w:sz w:val="21"/>
      <w:szCs w:val="22"/>
    </w:rPr>
  </w:style>
  <w:style w:type="character" w:customStyle="1" w:styleId="24">
    <w:name w:val="批注主题 字符"/>
    <w:basedOn w:val="23"/>
    <w:link w:val="9"/>
    <w:semiHidden/>
    <w:qFormat/>
    <w:uiPriority w:val="99"/>
    <w:rPr>
      <w:b/>
      <w:bCs/>
      <w:kern w:val="2"/>
      <w:sz w:val="21"/>
      <w:szCs w:val="22"/>
    </w:rPr>
  </w:style>
  <w:style w:type="paragraph" w:customStyle="1" w:styleId="25">
    <w:name w:val="Revision"/>
    <w:hidden/>
    <w:semiHidden/>
    <w:qFormat/>
    <w:uiPriority w:val="99"/>
    <w:rPr>
      <w:rFonts w:ascii="Calibri" w:hAnsi="Calibri" w:eastAsia="宋体" w:cs="Times New Roman"/>
      <w:kern w:val="2"/>
      <w:sz w:val="21"/>
      <w:szCs w:val="22"/>
      <w:lang w:val="en-US" w:eastAsia="zh-CN" w:bidi="ar-SA"/>
    </w:rPr>
  </w:style>
  <w:style w:type="character" w:customStyle="1" w:styleId="26">
    <w:name w:val="正文文本 字符"/>
    <w:basedOn w:val="12"/>
    <w:link w:val="3"/>
    <w:qFormat/>
    <w:uiPriority w:val="0"/>
    <w:rPr>
      <w:rFonts w:ascii="Times New Roman" w:hAnsi="Times New Roman" w:cs="Simplified Arabic"/>
      <w:sz w:val="24"/>
      <w:szCs w:val="24"/>
      <w:lang w:val="en-GB" w:eastAsia="en-GB" w:bidi="ar-A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新日鐵住金株式会社</Company>
  <Pages>2</Pages>
  <Words>161</Words>
  <Characters>922</Characters>
  <Lines>7</Lines>
  <Paragraphs>2</Paragraphs>
  <TotalTime>16</TotalTime>
  <ScaleCrop>false</ScaleCrop>
  <LinksUpToDate>false</LinksUpToDate>
  <CharactersWithSpaces>1081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2021-10-29T01:00:00Z</dcterms:created>
  <dc:creator>dell</dc:creator>
  <cp:lastModifiedBy>scjgj</cp:lastModifiedBy>
  <cp:lastPrinted>2017-01-18T23:04:00Z</cp:lastPrinted>
  <dcterms:modified xsi:type="dcterms:W3CDTF">2024-01-10T14:17:27Z</dcterms:modified>
  <cp:revision>366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