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黑体" w:hAnsi="黑体" w:eastAsia="黑体" w:cs="黑体"/>
          <w:bCs/>
          <w:kern w:val="0"/>
          <w:sz w:val="36"/>
          <w:szCs w:val="36"/>
          <w:lang w:val="en-GB" w:bidi="ar-AE"/>
        </w:rPr>
      </w:pPr>
      <w:r>
        <w:rPr>
          <w:rFonts w:ascii="黑体" w:hAnsi="黑体" w:eastAsia="黑体" w:cs="黑体"/>
          <w:bCs/>
          <w:kern w:val="0"/>
          <w:sz w:val="36"/>
          <w:szCs w:val="36"/>
          <w:lang w:val="en-GB" w:bidi="ar-AE"/>
        </w:rPr>
        <w:t>经营者集中简易案件公示表</w:t>
      </w:r>
    </w:p>
    <w:p>
      <w:pPr>
        <w:spacing w:line="440" w:lineRule="exact"/>
        <w:jc w:val="center"/>
        <w:rPr>
          <w:rFonts w:ascii="黑体" w:hAnsi="黑体" w:eastAsia="黑体" w:cs="黑体"/>
          <w:bCs/>
          <w:kern w:val="0"/>
          <w:sz w:val="36"/>
          <w:szCs w:val="36"/>
          <w:lang w:val="en-GB" w:bidi="ar-AE"/>
        </w:rPr>
      </w:pPr>
    </w:p>
    <w:tbl>
      <w:tblPr>
        <w:tblStyle w:val="8"/>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796"/>
        <w:gridCol w:w="5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D9D9D9"/>
          </w:tcPr>
          <w:p>
            <w:pPr>
              <w:rPr>
                <w:rFonts w:ascii="Times New Roman" w:hAnsi="Times New Roman"/>
                <w:b/>
                <w:sz w:val="24"/>
                <w:szCs w:val="24"/>
              </w:rPr>
            </w:pPr>
            <w:r>
              <w:rPr>
                <w:rFonts w:ascii="Times New Roman" w:hAnsi="Times New Roman"/>
                <w:b/>
                <w:sz w:val="24"/>
                <w:szCs w:val="24"/>
              </w:rPr>
              <w:t>案件名称</w:t>
            </w:r>
          </w:p>
        </w:tc>
        <w:tc>
          <w:tcPr>
            <w:tcW w:w="6949" w:type="dxa"/>
            <w:gridSpan w:val="2"/>
          </w:tcPr>
          <w:p>
            <w:pPr>
              <w:rPr>
                <w:rFonts w:ascii="Times New Roman" w:hAnsi="Times New Roman"/>
                <w:sz w:val="24"/>
                <w:szCs w:val="24"/>
              </w:rPr>
            </w:pPr>
            <w:r>
              <w:rPr>
                <w:rFonts w:hint="eastAsia" w:ascii="Times New Roman" w:hAnsi="Times New Roman"/>
                <w:kern w:val="0"/>
                <w:sz w:val="24"/>
                <w:szCs w:val="24"/>
              </w:rPr>
              <w:t>软通动力信息技术（集团）股份有限公司收购同方国际信息技术有限公司股权案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809" w:type="dxa"/>
            <w:shd w:val="clear" w:color="auto" w:fill="D9D9D9"/>
          </w:tcPr>
          <w:p>
            <w:pPr>
              <w:rPr>
                <w:rFonts w:ascii="Times New Roman" w:hAnsi="Times New Roman"/>
                <w:b/>
                <w:sz w:val="24"/>
                <w:szCs w:val="24"/>
              </w:rPr>
            </w:pPr>
            <w:r>
              <w:rPr>
                <w:rFonts w:ascii="Times New Roman" w:hAnsi="Times New Roman"/>
                <w:b/>
                <w:sz w:val="24"/>
                <w:szCs w:val="24"/>
              </w:rPr>
              <w:t>交易概况</w:t>
            </w:r>
          </w:p>
        </w:tc>
        <w:tc>
          <w:tcPr>
            <w:tcW w:w="6949" w:type="dxa"/>
            <w:gridSpan w:val="2"/>
          </w:tcPr>
          <w:p>
            <w:pPr>
              <w:rPr>
                <w:rFonts w:ascii="Times New Roman" w:hAnsi="Times New Roman"/>
                <w:kern w:val="0"/>
                <w:sz w:val="24"/>
                <w:szCs w:val="24"/>
              </w:rPr>
            </w:pPr>
            <w:r>
              <w:rPr>
                <w:rFonts w:hint="eastAsia" w:ascii="Times New Roman" w:hAnsi="Times New Roman"/>
                <w:kern w:val="0"/>
                <w:sz w:val="24"/>
                <w:szCs w:val="24"/>
              </w:rPr>
              <w:t>软通动力信息技术（集团）股份有限公司（“软通动力”）通过下属北京软通动力智能技术有限公司（“软通智能”）与同方股份有限公司（“同方股份”）签署《产权交易合同》，约定软通智能以现金方式收购同方股份持有的同方国际信息技术有限公司（“同方国际”）100%股权。交易前，同方股份单独控制同方国际；交易后，软通动力将间接持有同方国际的100%股权，拥有同方国际的单独控制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09" w:type="dxa"/>
            <w:vMerge w:val="restart"/>
            <w:shd w:val="clear" w:color="auto" w:fill="D9D9D9"/>
          </w:tcPr>
          <w:p>
            <w:pPr>
              <w:rPr>
                <w:rFonts w:ascii="Times New Roman" w:hAnsi="Times New Roman"/>
                <w:b/>
                <w:sz w:val="24"/>
                <w:szCs w:val="24"/>
              </w:rPr>
            </w:pPr>
            <w:r>
              <w:rPr>
                <w:rFonts w:ascii="Times New Roman" w:hAnsi="Times New Roman"/>
                <w:b/>
                <w:sz w:val="24"/>
                <w:szCs w:val="24"/>
              </w:rPr>
              <w:t>参与集中的经营者简介</w:t>
            </w:r>
          </w:p>
        </w:tc>
        <w:tc>
          <w:tcPr>
            <w:tcW w:w="1796" w:type="dxa"/>
            <w:vAlign w:val="center"/>
          </w:tcPr>
          <w:p>
            <w:pPr>
              <w:jc w:val="center"/>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w:t>
            </w:r>
            <w:r>
              <w:rPr>
                <w:rFonts w:hint="eastAsia" w:ascii="Times New Roman" w:hAnsi="Times New Roman"/>
                <w:kern w:val="0"/>
                <w:sz w:val="24"/>
                <w:szCs w:val="24"/>
              </w:rPr>
              <w:t>软通动力</w:t>
            </w:r>
          </w:p>
        </w:tc>
        <w:tc>
          <w:tcPr>
            <w:tcW w:w="5153" w:type="dxa"/>
          </w:tcPr>
          <w:p>
            <w:pPr>
              <w:rPr>
                <w:rFonts w:ascii="Times New Roman" w:hAnsi="Times New Roman"/>
                <w:sz w:val="24"/>
                <w:szCs w:val="24"/>
              </w:rPr>
            </w:pPr>
            <w:r>
              <w:rPr>
                <w:rFonts w:hint="eastAsia" w:ascii="Times New Roman" w:hAnsi="Times New Roman"/>
                <w:kern w:val="0"/>
                <w:sz w:val="24"/>
                <w:szCs w:val="24"/>
              </w:rPr>
              <w:t>软通动力</w:t>
            </w:r>
            <w:r>
              <w:rPr>
                <w:rFonts w:ascii="Times New Roman" w:hAnsi="Times New Roman"/>
                <w:sz w:val="24"/>
                <w:szCs w:val="24"/>
              </w:rPr>
              <w:t>于</w:t>
            </w:r>
            <w:r>
              <w:rPr>
                <w:rFonts w:hint="eastAsia" w:ascii="Times New Roman" w:hAnsi="Times New Roman"/>
                <w:sz w:val="24"/>
                <w:szCs w:val="24"/>
              </w:rPr>
              <w:t>2005</w:t>
            </w:r>
            <w:r>
              <w:rPr>
                <w:rFonts w:ascii="Times New Roman" w:hAnsi="Times New Roman"/>
                <w:sz w:val="24"/>
                <w:szCs w:val="24"/>
              </w:rPr>
              <w:t>年</w:t>
            </w:r>
            <w:r>
              <w:rPr>
                <w:rFonts w:hint="eastAsia" w:ascii="Times New Roman" w:hAnsi="Times New Roman"/>
                <w:sz w:val="24"/>
                <w:szCs w:val="24"/>
              </w:rPr>
              <w:t>11</w:t>
            </w:r>
            <w:r>
              <w:rPr>
                <w:rFonts w:ascii="Times New Roman" w:hAnsi="Times New Roman"/>
                <w:sz w:val="24"/>
                <w:szCs w:val="24"/>
              </w:rPr>
              <w:t>月</w:t>
            </w:r>
            <w:r>
              <w:rPr>
                <w:rFonts w:hint="eastAsia" w:ascii="Times New Roman" w:hAnsi="Times New Roman"/>
                <w:sz w:val="24"/>
                <w:szCs w:val="24"/>
              </w:rPr>
              <w:t>4日成立于北京市</w:t>
            </w:r>
            <w:r>
              <w:rPr>
                <w:rFonts w:ascii="Times New Roman" w:hAnsi="Times New Roman"/>
                <w:sz w:val="24"/>
                <w:szCs w:val="24"/>
              </w:rPr>
              <w:t>，</w:t>
            </w:r>
            <w:r>
              <w:rPr>
                <w:rFonts w:hint="eastAsia" w:ascii="Times New Roman" w:hAnsi="Times New Roman"/>
                <w:sz w:val="24"/>
                <w:szCs w:val="24"/>
              </w:rPr>
              <w:t>为深交所创业板上市公司，主要业务为数字技术服务、通用技术服务、咨询与解决方案及数字化运营服务。</w:t>
            </w:r>
          </w:p>
          <w:p>
            <w:pPr>
              <w:rPr>
                <w:rFonts w:ascii="Times New Roman" w:hAnsi="Times New Roman"/>
                <w:sz w:val="24"/>
                <w:szCs w:val="24"/>
              </w:rPr>
            </w:pPr>
            <w:r>
              <w:rPr>
                <w:rFonts w:hint="eastAsia" w:ascii="Times New Roman" w:hAnsi="Times New Roman"/>
                <w:kern w:val="0"/>
                <w:sz w:val="24"/>
                <w:szCs w:val="24"/>
              </w:rPr>
              <w:t>软通动力的最终控制人为自然人，</w:t>
            </w:r>
            <w:r>
              <w:rPr>
                <w:rFonts w:hint="eastAsia" w:ascii="Times New Roman" w:hAnsi="Times New Roman"/>
                <w:sz w:val="24"/>
                <w:szCs w:val="24"/>
              </w:rPr>
              <w:t>主要业务为数字技术服务、通用技术服务、咨询与解决方案及数字化运营服务。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09" w:type="dxa"/>
            <w:vMerge w:val="continue"/>
            <w:shd w:val="clear" w:color="auto" w:fill="D9D9D9"/>
          </w:tcPr>
          <w:p>
            <w:pPr>
              <w:rPr>
                <w:rFonts w:ascii="Times New Roman" w:hAnsi="Times New Roman"/>
                <w:b/>
                <w:sz w:val="24"/>
                <w:szCs w:val="24"/>
              </w:rPr>
            </w:pPr>
          </w:p>
        </w:tc>
        <w:tc>
          <w:tcPr>
            <w:tcW w:w="1796" w:type="dxa"/>
            <w:vAlign w:val="center"/>
          </w:tcPr>
          <w:p>
            <w:pPr>
              <w:jc w:val="center"/>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w:t>
            </w:r>
            <w:r>
              <w:rPr>
                <w:rFonts w:hint="eastAsia" w:ascii="Times New Roman" w:hAnsi="Times New Roman"/>
                <w:kern w:val="0"/>
                <w:sz w:val="24"/>
                <w:szCs w:val="24"/>
              </w:rPr>
              <w:t>同方国际</w:t>
            </w:r>
          </w:p>
        </w:tc>
        <w:tc>
          <w:tcPr>
            <w:tcW w:w="5153" w:type="dxa"/>
          </w:tcPr>
          <w:p>
            <w:pPr>
              <w:rPr>
                <w:rFonts w:ascii="Times New Roman" w:hAnsi="Times New Roman"/>
                <w:sz w:val="24"/>
                <w:szCs w:val="24"/>
              </w:rPr>
            </w:pPr>
            <w:r>
              <w:rPr>
                <w:rFonts w:ascii="Times New Roman" w:hAnsi="Times New Roman"/>
                <w:sz w:val="24"/>
                <w:szCs w:val="24"/>
              </w:rPr>
              <w:t>同方</w:t>
            </w:r>
            <w:r>
              <w:rPr>
                <w:rFonts w:hint="eastAsia" w:ascii="Times New Roman" w:hAnsi="Times New Roman"/>
                <w:sz w:val="24"/>
                <w:szCs w:val="24"/>
              </w:rPr>
              <w:t>国际于2010</w:t>
            </w:r>
            <w:r>
              <w:rPr>
                <w:rFonts w:ascii="Times New Roman" w:hAnsi="Times New Roman"/>
                <w:sz w:val="24"/>
                <w:szCs w:val="24"/>
              </w:rPr>
              <w:t>年</w:t>
            </w:r>
            <w:r>
              <w:rPr>
                <w:rFonts w:hint="eastAsia" w:ascii="Times New Roman" w:hAnsi="Times New Roman"/>
                <w:sz w:val="24"/>
                <w:szCs w:val="24"/>
              </w:rPr>
              <w:t>12</w:t>
            </w:r>
            <w:r>
              <w:rPr>
                <w:rFonts w:ascii="Times New Roman" w:hAnsi="Times New Roman"/>
                <w:sz w:val="24"/>
                <w:szCs w:val="24"/>
              </w:rPr>
              <w:t>月</w:t>
            </w:r>
            <w:r>
              <w:rPr>
                <w:rFonts w:hint="eastAsia" w:ascii="Times New Roman" w:hAnsi="Times New Roman"/>
                <w:sz w:val="24"/>
                <w:szCs w:val="24"/>
              </w:rPr>
              <w:t>8日</w:t>
            </w:r>
            <w:r>
              <w:rPr>
                <w:rFonts w:ascii="Times New Roman" w:hAnsi="Times New Roman"/>
                <w:sz w:val="24"/>
                <w:szCs w:val="24"/>
              </w:rPr>
              <w:t>成立于</w:t>
            </w:r>
            <w:r>
              <w:rPr>
                <w:rFonts w:hint="eastAsia" w:ascii="Times New Roman" w:hAnsi="Times New Roman"/>
                <w:sz w:val="24"/>
                <w:szCs w:val="24"/>
              </w:rPr>
              <w:t>中国香港</w:t>
            </w:r>
            <w:r>
              <w:rPr>
                <w:rFonts w:ascii="Times New Roman" w:hAnsi="Times New Roman"/>
                <w:sz w:val="24"/>
                <w:szCs w:val="24"/>
              </w:rPr>
              <w:t>，主要</w:t>
            </w:r>
            <w:r>
              <w:rPr>
                <w:rFonts w:hint="eastAsia" w:ascii="Times New Roman" w:hAnsi="Times New Roman"/>
                <w:sz w:val="24"/>
                <w:szCs w:val="24"/>
              </w:rPr>
              <w:t>业务为笔记本电脑研发、制造和销售以及电脑代工服务。</w:t>
            </w:r>
          </w:p>
          <w:p>
            <w:pPr>
              <w:rPr>
                <w:rFonts w:ascii="Times New Roman" w:hAnsi="Times New Roman"/>
                <w:sz w:val="24"/>
                <w:szCs w:val="24"/>
              </w:rPr>
            </w:pPr>
            <w:r>
              <w:rPr>
                <w:rFonts w:ascii="Times New Roman" w:hAnsi="Times New Roman"/>
                <w:sz w:val="24"/>
                <w:szCs w:val="24"/>
              </w:rPr>
              <w:t>同方</w:t>
            </w:r>
            <w:r>
              <w:rPr>
                <w:rFonts w:hint="eastAsia" w:ascii="Times New Roman" w:hAnsi="Times New Roman"/>
                <w:sz w:val="24"/>
                <w:szCs w:val="24"/>
              </w:rPr>
              <w:t>国际</w:t>
            </w:r>
            <w:r>
              <w:rPr>
                <w:rFonts w:hint="eastAsia" w:ascii="Times New Roman" w:hAnsi="Times New Roman"/>
                <w:kern w:val="0"/>
                <w:sz w:val="24"/>
                <w:szCs w:val="24"/>
              </w:rPr>
              <w:t>的最终控制人为中国核工业集团有限公司</w:t>
            </w:r>
            <w:r>
              <w:rPr>
                <w:rFonts w:hint="eastAsia" w:ascii="Times New Roman" w:hAnsi="Times New Roman"/>
                <w:kern w:val="0"/>
                <w:sz w:val="24"/>
                <w:szCs w:val="24"/>
                <w:lang w:eastAsia="zh-CN"/>
              </w:rPr>
              <w:t>，</w:t>
            </w:r>
            <w:r>
              <w:rPr>
                <w:rFonts w:hint="eastAsia" w:ascii="Times New Roman" w:hAnsi="Times New Roman"/>
                <w:kern w:val="0"/>
                <w:sz w:val="24"/>
                <w:szCs w:val="24"/>
              </w:rPr>
              <w:t>主要业务为核燃料、核材料、铀产品以及相关核技术的生产、专营；核军用产品、核电、同位素、核仪器设备的生产、销售；核设施建设、经营；乏燃料和放射性废物的处理处置等。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809" w:type="dxa"/>
            <w:vMerge w:val="restart"/>
            <w:shd w:val="clear" w:color="auto" w:fill="D9D9D9"/>
          </w:tcPr>
          <w:p>
            <w:pPr>
              <w:rPr>
                <w:rFonts w:ascii="Times New Roman" w:hAnsi="Times New Roman"/>
                <w:b/>
                <w:sz w:val="24"/>
                <w:szCs w:val="24"/>
              </w:rPr>
            </w:pPr>
            <w:r>
              <w:rPr>
                <w:rFonts w:ascii="Times New Roman" w:hAnsi="Times New Roman"/>
                <w:b/>
                <w:sz w:val="24"/>
                <w:szCs w:val="24"/>
              </w:rPr>
              <w:t>简易案件理由（可以单选，也可以多选）</w:t>
            </w:r>
          </w:p>
        </w:tc>
        <w:tc>
          <w:tcPr>
            <w:tcW w:w="6949" w:type="dxa"/>
            <w:gridSpan w:val="2"/>
          </w:tcPr>
          <w:p>
            <w:pPr>
              <w:rPr>
                <w:rFonts w:ascii="Times New Roman" w:hAnsi="Times New Roman"/>
                <w:sz w:val="24"/>
                <w:szCs w:val="24"/>
              </w:rPr>
            </w:pPr>
            <w:r>
              <w:rPr>
                <w:rFonts w:ascii="Times New Roman" w:hAnsi="Times New Roman"/>
                <w:sz w:val="24"/>
                <w:szCs w:val="24"/>
              </w:rPr>
              <w:sym w:font="Wingdings" w:char="F0A8"/>
            </w:r>
            <w:r>
              <w:rPr>
                <w:rFonts w:ascii="Times New Roman" w:hAnsi="Times New Roman"/>
                <w:sz w:val="24"/>
                <w:szCs w:val="24"/>
              </w:rPr>
              <w:t xml:space="preserve"> 1、在同一相关市场，所有参与集中的经营者所占市场份额之和小于15%。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09" w:type="dxa"/>
            <w:vMerge w:val="continue"/>
            <w:shd w:val="clear" w:color="auto" w:fill="D9D9D9"/>
          </w:tcPr>
          <w:p>
            <w:pPr>
              <w:rPr>
                <w:rFonts w:ascii="Times New Roman" w:hAnsi="Times New Roman"/>
                <w:b/>
                <w:sz w:val="24"/>
                <w:szCs w:val="24"/>
              </w:rPr>
            </w:pPr>
          </w:p>
        </w:tc>
        <w:tc>
          <w:tcPr>
            <w:tcW w:w="6949" w:type="dxa"/>
            <w:gridSpan w:val="2"/>
          </w:tcPr>
          <w:p>
            <w:pPr>
              <w:rPr>
                <w:rFonts w:ascii="Times New Roman" w:hAnsi="Times New Roman"/>
                <w:sz w:val="24"/>
                <w:szCs w:val="24"/>
              </w:rPr>
            </w:pPr>
            <w:r>
              <w:rPr>
                <w:rFonts w:ascii="Times New Roman" w:hAnsi="Times New Roman"/>
                <w:sz w:val="24"/>
                <w:szCs w:val="24"/>
              </w:rPr>
              <w:sym w:font="Wingdings" w:char="F0A8"/>
            </w:r>
            <w:r>
              <w:rPr>
                <w:rFonts w:ascii="Times New Roman" w:hAnsi="Times New Roman"/>
                <w:sz w:val="24"/>
                <w:szCs w:val="24"/>
              </w:rPr>
              <w:t xml:space="preserve"> 2、存在上下游关系的参与集中的经营者，在上下游市场所占的市场份额均小于25%。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09" w:type="dxa"/>
            <w:vMerge w:val="continue"/>
            <w:shd w:val="clear" w:color="auto" w:fill="D9D9D9"/>
          </w:tcPr>
          <w:p>
            <w:pPr>
              <w:rPr>
                <w:rFonts w:ascii="Times New Roman" w:hAnsi="Times New Roman"/>
                <w:b/>
                <w:sz w:val="24"/>
                <w:szCs w:val="24"/>
              </w:rPr>
            </w:pPr>
          </w:p>
        </w:tc>
        <w:tc>
          <w:tcPr>
            <w:tcW w:w="6949" w:type="dxa"/>
            <w:gridSpan w:val="2"/>
          </w:tcPr>
          <w:p>
            <w:pPr>
              <w:rPr>
                <w:rFonts w:ascii="Times New Roman" w:hAnsi="Times New Roman"/>
                <w:sz w:val="24"/>
                <w:szCs w:val="24"/>
              </w:rPr>
            </w:pPr>
            <w:r>
              <w:rPr>
                <w:rFonts w:ascii="Times New Roman" w:hAnsi="Times New Roman"/>
                <w:sz w:val="24"/>
                <w:szCs w:val="24"/>
              </w:rPr>
              <w:sym w:font="Wingdings" w:char="F0FE"/>
            </w:r>
            <w:r>
              <w:rPr>
                <w:rFonts w:ascii="Times New Roman" w:hAnsi="Times New Roman"/>
                <w:sz w:val="24"/>
                <w:szCs w:val="24"/>
              </w:rPr>
              <w:t xml:space="preserve"> 3、不在同一相关市场、也不存在上下游关系的参与集中的经营者，在与交易有关的每个市场所占的份额均小于25%。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809" w:type="dxa"/>
            <w:vMerge w:val="continue"/>
            <w:shd w:val="clear" w:color="auto" w:fill="D9D9D9"/>
          </w:tcPr>
          <w:p>
            <w:pPr>
              <w:rPr>
                <w:rFonts w:ascii="Times New Roman" w:hAnsi="Times New Roman"/>
                <w:b/>
                <w:sz w:val="24"/>
                <w:szCs w:val="24"/>
              </w:rPr>
            </w:pPr>
          </w:p>
        </w:tc>
        <w:tc>
          <w:tcPr>
            <w:tcW w:w="6949" w:type="dxa"/>
            <w:gridSpan w:val="2"/>
          </w:tcPr>
          <w:p>
            <w:pPr>
              <w:rPr>
                <w:rFonts w:ascii="Times New Roman" w:hAnsi="Times New Roman"/>
                <w:sz w:val="24"/>
                <w:szCs w:val="24"/>
              </w:rPr>
            </w:pPr>
            <w:r>
              <w:rPr>
                <w:rFonts w:ascii="Times New Roman" w:hAnsi="Times New Roman"/>
                <w:sz w:val="24"/>
                <w:szCs w:val="24"/>
              </w:rPr>
              <w:sym w:font="Wingdings" w:char="F0A8"/>
            </w:r>
            <w:r>
              <w:rPr>
                <w:rFonts w:ascii="Times New Roman" w:hAnsi="Times New Roman"/>
                <w:sz w:val="24"/>
                <w:szCs w:val="24"/>
              </w:rPr>
              <w:t xml:space="preserve"> 4、参与集中的经营者在中国境外设立合营企业，合营企业不在中国境内从事经济活动。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809" w:type="dxa"/>
            <w:vMerge w:val="continue"/>
            <w:shd w:val="clear" w:color="auto" w:fill="D9D9D9"/>
          </w:tcPr>
          <w:p>
            <w:pPr>
              <w:rPr>
                <w:rFonts w:ascii="Times New Roman" w:hAnsi="Times New Roman"/>
                <w:b/>
                <w:sz w:val="24"/>
                <w:szCs w:val="24"/>
              </w:rPr>
            </w:pPr>
          </w:p>
        </w:tc>
        <w:tc>
          <w:tcPr>
            <w:tcW w:w="6949" w:type="dxa"/>
            <w:gridSpan w:val="2"/>
          </w:tcPr>
          <w:p>
            <w:pPr>
              <w:rPr>
                <w:rFonts w:ascii="Times New Roman" w:hAnsi="Times New Roman"/>
                <w:sz w:val="24"/>
                <w:szCs w:val="24"/>
              </w:rPr>
            </w:pPr>
            <w:r>
              <w:rPr>
                <w:rFonts w:ascii="Times New Roman" w:hAnsi="Times New Roman"/>
                <w:sz w:val="24"/>
                <w:szCs w:val="24"/>
              </w:rPr>
              <w:sym w:font="Wingdings" w:char="F0A8"/>
            </w:r>
            <w:r>
              <w:rPr>
                <w:rFonts w:ascii="Times New Roman" w:hAnsi="Times New Roman"/>
                <w:sz w:val="24"/>
                <w:szCs w:val="24"/>
              </w:rPr>
              <w:t xml:space="preserve"> 5、参与集中的经营者收购境外企业股权或资产的，该境外企业不在中国境内从事经济活动。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09" w:type="dxa"/>
            <w:vMerge w:val="continue"/>
            <w:shd w:val="clear" w:color="auto" w:fill="D9D9D9"/>
          </w:tcPr>
          <w:p>
            <w:pPr>
              <w:rPr>
                <w:rFonts w:ascii="Times New Roman" w:hAnsi="Times New Roman"/>
                <w:b/>
                <w:sz w:val="24"/>
                <w:szCs w:val="24"/>
              </w:rPr>
            </w:pPr>
          </w:p>
        </w:tc>
        <w:tc>
          <w:tcPr>
            <w:tcW w:w="6949" w:type="dxa"/>
            <w:gridSpan w:val="2"/>
          </w:tcPr>
          <w:p>
            <w:pPr>
              <w:rPr>
                <w:rFonts w:ascii="Times New Roman" w:hAnsi="Times New Roman"/>
                <w:sz w:val="24"/>
                <w:szCs w:val="24"/>
              </w:rPr>
            </w:pPr>
            <w:r>
              <w:rPr>
                <w:rFonts w:ascii="Times New Roman" w:hAnsi="Times New Roman"/>
                <w:sz w:val="24"/>
                <w:szCs w:val="24"/>
              </w:rPr>
              <w:sym w:font="Wingdings" w:char="F0A8"/>
            </w:r>
            <w:r>
              <w:rPr>
                <w:rFonts w:ascii="Times New Roman" w:hAnsi="Times New Roman"/>
                <w:sz w:val="24"/>
                <w:szCs w:val="24"/>
              </w:rPr>
              <w:t xml:space="preserve"> 6、由两个以上的经营者共同控制的合营企业，通过集中被其中一个或一个以上经营者控制。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D9D9D9"/>
          </w:tcPr>
          <w:p>
            <w:pPr>
              <w:rPr>
                <w:rFonts w:ascii="Times New Roman" w:hAnsi="Times New Roman"/>
                <w:b/>
                <w:sz w:val="24"/>
                <w:szCs w:val="24"/>
              </w:rPr>
            </w:pPr>
            <w:r>
              <w:rPr>
                <w:rFonts w:ascii="Times New Roman" w:hAnsi="Times New Roman"/>
                <w:b/>
                <w:sz w:val="24"/>
                <w:szCs w:val="24"/>
              </w:rPr>
              <w:t>备注</w:t>
            </w:r>
          </w:p>
        </w:tc>
        <w:tc>
          <w:tcPr>
            <w:tcW w:w="6949" w:type="dxa"/>
            <w:gridSpan w:val="2"/>
          </w:tcPr>
          <w:p>
            <w:pPr>
              <w:rPr>
                <w:rFonts w:ascii="Times New Roman" w:hAnsi="Times New Roman"/>
                <w:b/>
                <w:bCs/>
                <w:sz w:val="24"/>
                <w:szCs w:val="24"/>
              </w:rPr>
            </w:pPr>
            <w:r>
              <w:rPr>
                <w:rFonts w:hint="eastAsia" w:ascii="Times New Roman" w:hAnsi="Times New Roman"/>
                <w:b/>
                <w:bCs/>
                <w:sz w:val="24"/>
                <w:szCs w:val="24"/>
              </w:rPr>
              <w:t>混合集中：</w:t>
            </w:r>
          </w:p>
          <w:p>
            <w:pPr>
              <w:rPr>
                <w:rFonts w:ascii="Times New Roman" w:hAnsi="Times New Roman"/>
                <w:sz w:val="24"/>
                <w:szCs w:val="24"/>
              </w:rPr>
            </w:pPr>
            <w:r>
              <w:rPr>
                <w:rFonts w:hint="eastAsia" w:ascii="Times New Roman" w:hAnsi="Times New Roman"/>
                <w:sz w:val="24"/>
                <w:szCs w:val="24"/>
              </w:rPr>
              <w:t>2022年中国境内笔记本电脑市场</w:t>
            </w:r>
          </w:p>
          <w:p>
            <w:pPr>
              <w:rPr>
                <w:rFonts w:ascii="Times New Roman" w:hAnsi="Times New Roman"/>
                <w:sz w:val="24"/>
                <w:szCs w:val="24"/>
              </w:rPr>
            </w:pPr>
            <w:r>
              <w:rPr>
                <w:rFonts w:hint="eastAsia" w:ascii="Times New Roman" w:hAnsi="Times New Roman"/>
                <w:sz w:val="24"/>
                <w:szCs w:val="24"/>
              </w:rPr>
              <w:t>同方国际：0-5%</w:t>
            </w:r>
          </w:p>
          <w:p>
            <w:pPr>
              <w:rPr>
                <w:rFonts w:ascii="Times New Roman" w:hAnsi="Times New Roman"/>
                <w:sz w:val="24"/>
                <w:szCs w:val="24"/>
              </w:rPr>
            </w:pPr>
            <w:r>
              <w:rPr>
                <w:rFonts w:hint="eastAsia" w:ascii="Times New Roman" w:hAnsi="Times New Roman"/>
                <w:sz w:val="24"/>
                <w:szCs w:val="24"/>
              </w:rPr>
              <w:t>2022年中国境内台式电脑市场</w:t>
            </w:r>
          </w:p>
          <w:p>
            <w:pPr>
              <w:rPr>
                <w:rFonts w:ascii="Times New Roman" w:hAnsi="Times New Roman"/>
                <w:sz w:val="24"/>
                <w:szCs w:val="24"/>
              </w:rPr>
            </w:pPr>
            <w:r>
              <w:rPr>
                <w:rFonts w:hint="eastAsia" w:ascii="Times New Roman" w:hAnsi="Times New Roman"/>
                <w:sz w:val="24"/>
                <w:szCs w:val="24"/>
              </w:rPr>
              <w:t>同方国际</w:t>
            </w:r>
            <w:r>
              <w:rPr>
                <w:rFonts w:hint="eastAsia" w:ascii="Times New Roman" w:hAnsi="Times New Roman"/>
                <w:sz w:val="24"/>
                <w:szCs w:val="24"/>
                <w:lang w:eastAsia="zh-CN"/>
              </w:rPr>
              <w:t>：</w:t>
            </w:r>
            <w:r>
              <w:rPr>
                <w:rFonts w:hint="eastAsia" w:ascii="Times New Roman" w:hAnsi="Times New Roman"/>
                <w:sz w:val="24"/>
                <w:szCs w:val="24"/>
              </w:rPr>
              <w:t>0-5%</w:t>
            </w:r>
          </w:p>
          <w:p>
            <w:pPr>
              <w:rPr>
                <w:rFonts w:ascii="Times New Roman" w:hAnsi="Times New Roman"/>
                <w:sz w:val="24"/>
                <w:szCs w:val="24"/>
              </w:rPr>
            </w:pPr>
            <w:r>
              <w:rPr>
                <w:rFonts w:hint="eastAsia" w:ascii="Times New Roman" w:hAnsi="Times New Roman"/>
                <w:sz w:val="24"/>
                <w:szCs w:val="24"/>
              </w:rPr>
              <w:t>2022年全球笔记本电脑代工服务市场</w:t>
            </w:r>
          </w:p>
          <w:p>
            <w:pPr>
              <w:rPr>
                <w:rFonts w:hint="eastAsia" w:ascii="Times New Roman" w:hAnsi="Times New Roman"/>
                <w:sz w:val="24"/>
                <w:szCs w:val="24"/>
              </w:rPr>
            </w:pPr>
            <w:r>
              <w:rPr>
                <w:rFonts w:hint="eastAsia" w:ascii="Times New Roman" w:hAnsi="Times New Roman"/>
                <w:sz w:val="24"/>
                <w:szCs w:val="24"/>
              </w:rPr>
              <w:t>同方国际：0-5%</w:t>
            </w:r>
          </w:p>
          <w:p>
            <w:pPr>
              <w:rPr>
                <w:rFonts w:ascii="Times New Roman" w:hAnsi="Times New Roman"/>
                <w:sz w:val="24"/>
                <w:szCs w:val="24"/>
              </w:rPr>
            </w:pPr>
            <w:r>
              <w:rPr>
                <w:rFonts w:hint="eastAsia" w:ascii="Times New Roman" w:hAnsi="Times New Roman"/>
                <w:sz w:val="24"/>
                <w:szCs w:val="24"/>
              </w:rPr>
              <w:t>2022年</w:t>
            </w:r>
            <w:r>
              <w:rPr>
                <w:rFonts w:hint="eastAsia" w:ascii="Times New Roman" w:hAnsi="Times New Roman"/>
                <w:sz w:val="24"/>
                <w:szCs w:val="24"/>
                <w:lang w:eastAsia="zh-CN"/>
              </w:rPr>
              <w:t>中国境内</w:t>
            </w:r>
            <w:r>
              <w:rPr>
                <w:rFonts w:hint="eastAsia" w:ascii="Times New Roman" w:hAnsi="Times New Roman"/>
                <w:sz w:val="24"/>
                <w:szCs w:val="24"/>
              </w:rPr>
              <w:t>笔记本电脑代工服务市场</w:t>
            </w:r>
          </w:p>
          <w:p>
            <w:pPr>
              <w:rPr>
                <w:rFonts w:hint="eastAsia" w:ascii="Times New Roman" w:hAnsi="Times New Roman"/>
                <w:sz w:val="24"/>
                <w:szCs w:val="24"/>
              </w:rPr>
            </w:pPr>
            <w:r>
              <w:rPr>
                <w:rFonts w:hint="eastAsia" w:ascii="Times New Roman" w:hAnsi="Times New Roman"/>
                <w:sz w:val="24"/>
                <w:szCs w:val="24"/>
              </w:rPr>
              <w:t>同方国际：0-5%</w:t>
            </w:r>
            <w:bookmarkStart w:id="0" w:name="_GoBack"/>
            <w:bookmarkEnd w:id="0"/>
          </w:p>
        </w:tc>
      </w:tr>
    </w:tbl>
    <w:p>
      <w:pPr>
        <w:rPr>
          <w:rFonts w:ascii="Times New Roman" w:hAnsi="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095"/>
    <w:rsid w:val="000028B9"/>
    <w:rsid w:val="00002BB4"/>
    <w:rsid w:val="0002190B"/>
    <w:rsid w:val="00023510"/>
    <w:rsid w:val="00045966"/>
    <w:rsid w:val="000675A7"/>
    <w:rsid w:val="00081C11"/>
    <w:rsid w:val="00094095"/>
    <w:rsid w:val="000A7223"/>
    <w:rsid w:val="000B347D"/>
    <w:rsid w:val="000B4D65"/>
    <w:rsid w:val="000C0828"/>
    <w:rsid w:val="000D2E5F"/>
    <w:rsid w:val="000E1188"/>
    <w:rsid w:val="00103F1F"/>
    <w:rsid w:val="00113024"/>
    <w:rsid w:val="00113B7D"/>
    <w:rsid w:val="00113F95"/>
    <w:rsid w:val="00115F2B"/>
    <w:rsid w:val="001469CA"/>
    <w:rsid w:val="001530C8"/>
    <w:rsid w:val="0015454C"/>
    <w:rsid w:val="00172D73"/>
    <w:rsid w:val="00174A37"/>
    <w:rsid w:val="00181838"/>
    <w:rsid w:val="00181E00"/>
    <w:rsid w:val="001A1F68"/>
    <w:rsid w:val="001B6BE7"/>
    <w:rsid w:val="001D2727"/>
    <w:rsid w:val="001D60C2"/>
    <w:rsid w:val="001D6EEA"/>
    <w:rsid w:val="001E6C23"/>
    <w:rsid w:val="001E72E6"/>
    <w:rsid w:val="00200568"/>
    <w:rsid w:val="00212883"/>
    <w:rsid w:val="00233B32"/>
    <w:rsid w:val="00242187"/>
    <w:rsid w:val="00245776"/>
    <w:rsid w:val="00251FFF"/>
    <w:rsid w:val="00271B82"/>
    <w:rsid w:val="0027728C"/>
    <w:rsid w:val="002813E3"/>
    <w:rsid w:val="00286F12"/>
    <w:rsid w:val="00287AEA"/>
    <w:rsid w:val="0029266B"/>
    <w:rsid w:val="002A0992"/>
    <w:rsid w:val="002A2976"/>
    <w:rsid w:val="002A2A64"/>
    <w:rsid w:val="002A5221"/>
    <w:rsid w:val="002B769E"/>
    <w:rsid w:val="002C0878"/>
    <w:rsid w:val="002C150A"/>
    <w:rsid w:val="002C2E9A"/>
    <w:rsid w:val="002C62AF"/>
    <w:rsid w:val="002D3E80"/>
    <w:rsid w:val="002F2D60"/>
    <w:rsid w:val="002F54BC"/>
    <w:rsid w:val="00307976"/>
    <w:rsid w:val="003437D6"/>
    <w:rsid w:val="00344CBE"/>
    <w:rsid w:val="00356FF1"/>
    <w:rsid w:val="00372412"/>
    <w:rsid w:val="003774E4"/>
    <w:rsid w:val="003B4AF2"/>
    <w:rsid w:val="003C4E9F"/>
    <w:rsid w:val="003E60C3"/>
    <w:rsid w:val="003F17D9"/>
    <w:rsid w:val="003F3F2D"/>
    <w:rsid w:val="004203A2"/>
    <w:rsid w:val="00436C0C"/>
    <w:rsid w:val="00452181"/>
    <w:rsid w:val="00461316"/>
    <w:rsid w:val="00462174"/>
    <w:rsid w:val="00466906"/>
    <w:rsid w:val="004A6517"/>
    <w:rsid w:val="004A72D5"/>
    <w:rsid w:val="004B048E"/>
    <w:rsid w:val="004C37D8"/>
    <w:rsid w:val="004C3E23"/>
    <w:rsid w:val="004D1A60"/>
    <w:rsid w:val="00505C2B"/>
    <w:rsid w:val="00511B0C"/>
    <w:rsid w:val="00523151"/>
    <w:rsid w:val="00533635"/>
    <w:rsid w:val="00541B03"/>
    <w:rsid w:val="00547709"/>
    <w:rsid w:val="0055631E"/>
    <w:rsid w:val="00563F1C"/>
    <w:rsid w:val="005667B6"/>
    <w:rsid w:val="00586928"/>
    <w:rsid w:val="00587541"/>
    <w:rsid w:val="005A0F48"/>
    <w:rsid w:val="005A31C8"/>
    <w:rsid w:val="005A5B31"/>
    <w:rsid w:val="005B29A6"/>
    <w:rsid w:val="005B2A20"/>
    <w:rsid w:val="005B2A61"/>
    <w:rsid w:val="005C08E4"/>
    <w:rsid w:val="005D1F1F"/>
    <w:rsid w:val="005D3977"/>
    <w:rsid w:val="005E3C20"/>
    <w:rsid w:val="005F167B"/>
    <w:rsid w:val="006041D2"/>
    <w:rsid w:val="006100B9"/>
    <w:rsid w:val="00610AE9"/>
    <w:rsid w:val="00611DE4"/>
    <w:rsid w:val="006302F7"/>
    <w:rsid w:val="00634511"/>
    <w:rsid w:val="00644282"/>
    <w:rsid w:val="006472DE"/>
    <w:rsid w:val="0065422A"/>
    <w:rsid w:val="006557DC"/>
    <w:rsid w:val="006571B5"/>
    <w:rsid w:val="006A088E"/>
    <w:rsid w:val="006C3910"/>
    <w:rsid w:val="006C46AA"/>
    <w:rsid w:val="006C59FA"/>
    <w:rsid w:val="006D069E"/>
    <w:rsid w:val="006D1520"/>
    <w:rsid w:val="006D36E3"/>
    <w:rsid w:val="006E538B"/>
    <w:rsid w:val="00706527"/>
    <w:rsid w:val="00706B49"/>
    <w:rsid w:val="00706C14"/>
    <w:rsid w:val="007421E3"/>
    <w:rsid w:val="00760695"/>
    <w:rsid w:val="00780DAA"/>
    <w:rsid w:val="00784A67"/>
    <w:rsid w:val="007A5837"/>
    <w:rsid w:val="007B64AD"/>
    <w:rsid w:val="007C0297"/>
    <w:rsid w:val="007D4D02"/>
    <w:rsid w:val="007E07D5"/>
    <w:rsid w:val="00806E95"/>
    <w:rsid w:val="00811E74"/>
    <w:rsid w:val="008356DA"/>
    <w:rsid w:val="00836E2D"/>
    <w:rsid w:val="00862608"/>
    <w:rsid w:val="008721F6"/>
    <w:rsid w:val="00886997"/>
    <w:rsid w:val="00890504"/>
    <w:rsid w:val="008A1FF1"/>
    <w:rsid w:val="008A21F2"/>
    <w:rsid w:val="008A3827"/>
    <w:rsid w:val="008A70B2"/>
    <w:rsid w:val="008B2DDF"/>
    <w:rsid w:val="008D3D13"/>
    <w:rsid w:val="008E34BF"/>
    <w:rsid w:val="008E5233"/>
    <w:rsid w:val="008F04A2"/>
    <w:rsid w:val="00921469"/>
    <w:rsid w:val="009270BA"/>
    <w:rsid w:val="00955419"/>
    <w:rsid w:val="00957D49"/>
    <w:rsid w:val="00981269"/>
    <w:rsid w:val="009910F5"/>
    <w:rsid w:val="009B5F0D"/>
    <w:rsid w:val="009B68C5"/>
    <w:rsid w:val="009D344D"/>
    <w:rsid w:val="009E42AF"/>
    <w:rsid w:val="009E66B3"/>
    <w:rsid w:val="009F50D7"/>
    <w:rsid w:val="00A022A4"/>
    <w:rsid w:val="00A03B12"/>
    <w:rsid w:val="00A1517B"/>
    <w:rsid w:val="00A15F64"/>
    <w:rsid w:val="00A35BCA"/>
    <w:rsid w:val="00A41B45"/>
    <w:rsid w:val="00A42DFD"/>
    <w:rsid w:val="00A44ED8"/>
    <w:rsid w:val="00A665BC"/>
    <w:rsid w:val="00A83243"/>
    <w:rsid w:val="00A87FEF"/>
    <w:rsid w:val="00A9684C"/>
    <w:rsid w:val="00AA0D58"/>
    <w:rsid w:val="00AB5008"/>
    <w:rsid w:val="00AC0172"/>
    <w:rsid w:val="00AC4929"/>
    <w:rsid w:val="00AC6ECA"/>
    <w:rsid w:val="00AD0AE2"/>
    <w:rsid w:val="00AE4242"/>
    <w:rsid w:val="00B04EE2"/>
    <w:rsid w:val="00B06644"/>
    <w:rsid w:val="00B25D98"/>
    <w:rsid w:val="00B33355"/>
    <w:rsid w:val="00B34F97"/>
    <w:rsid w:val="00B356C9"/>
    <w:rsid w:val="00B43DE3"/>
    <w:rsid w:val="00B54D27"/>
    <w:rsid w:val="00B5530C"/>
    <w:rsid w:val="00B577EB"/>
    <w:rsid w:val="00B81F1E"/>
    <w:rsid w:val="00BA0750"/>
    <w:rsid w:val="00BA5C49"/>
    <w:rsid w:val="00BA625B"/>
    <w:rsid w:val="00BA6300"/>
    <w:rsid w:val="00BA6FC1"/>
    <w:rsid w:val="00BB2377"/>
    <w:rsid w:val="00BD3B0B"/>
    <w:rsid w:val="00BE29B2"/>
    <w:rsid w:val="00BF6B9A"/>
    <w:rsid w:val="00BF7086"/>
    <w:rsid w:val="00C21FDF"/>
    <w:rsid w:val="00C4585B"/>
    <w:rsid w:val="00C569EB"/>
    <w:rsid w:val="00C64E86"/>
    <w:rsid w:val="00C65086"/>
    <w:rsid w:val="00C8636B"/>
    <w:rsid w:val="00C86C98"/>
    <w:rsid w:val="00C9068E"/>
    <w:rsid w:val="00C91A03"/>
    <w:rsid w:val="00C96603"/>
    <w:rsid w:val="00CA000B"/>
    <w:rsid w:val="00CA5F18"/>
    <w:rsid w:val="00CA6C50"/>
    <w:rsid w:val="00CB4BBA"/>
    <w:rsid w:val="00CC1D35"/>
    <w:rsid w:val="00CC2C7F"/>
    <w:rsid w:val="00CC4B1B"/>
    <w:rsid w:val="00CE537D"/>
    <w:rsid w:val="00CF60DF"/>
    <w:rsid w:val="00D02388"/>
    <w:rsid w:val="00D11C3C"/>
    <w:rsid w:val="00D12436"/>
    <w:rsid w:val="00D21633"/>
    <w:rsid w:val="00D2163D"/>
    <w:rsid w:val="00D21777"/>
    <w:rsid w:val="00D30389"/>
    <w:rsid w:val="00D368E0"/>
    <w:rsid w:val="00D4025F"/>
    <w:rsid w:val="00D45F07"/>
    <w:rsid w:val="00D671EF"/>
    <w:rsid w:val="00D74F3E"/>
    <w:rsid w:val="00D753A8"/>
    <w:rsid w:val="00D86D65"/>
    <w:rsid w:val="00DB5392"/>
    <w:rsid w:val="00DB6A8B"/>
    <w:rsid w:val="00DD24A1"/>
    <w:rsid w:val="00DD5AC0"/>
    <w:rsid w:val="00DD7DFA"/>
    <w:rsid w:val="00DF4497"/>
    <w:rsid w:val="00E02606"/>
    <w:rsid w:val="00E3225D"/>
    <w:rsid w:val="00E35572"/>
    <w:rsid w:val="00E54F55"/>
    <w:rsid w:val="00E761B9"/>
    <w:rsid w:val="00E845A7"/>
    <w:rsid w:val="00EA6518"/>
    <w:rsid w:val="00EC7CC2"/>
    <w:rsid w:val="00ED21B1"/>
    <w:rsid w:val="00EE0E6B"/>
    <w:rsid w:val="00EE3DDA"/>
    <w:rsid w:val="00EF03F5"/>
    <w:rsid w:val="00EF250E"/>
    <w:rsid w:val="00F004B1"/>
    <w:rsid w:val="00F02E06"/>
    <w:rsid w:val="00F04325"/>
    <w:rsid w:val="00F17EC2"/>
    <w:rsid w:val="00F34ADB"/>
    <w:rsid w:val="00F71627"/>
    <w:rsid w:val="00F730F2"/>
    <w:rsid w:val="00F74404"/>
    <w:rsid w:val="00F80D6E"/>
    <w:rsid w:val="00F85488"/>
    <w:rsid w:val="00F87C1F"/>
    <w:rsid w:val="00FA02FD"/>
    <w:rsid w:val="00FA0C1A"/>
    <w:rsid w:val="00FA395D"/>
    <w:rsid w:val="00FD2F77"/>
    <w:rsid w:val="00FD31D1"/>
    <w:rsid w:val="00FD7A17"/>
    <w:rsid w:val="00FE4003"/>
    <w:rsid w:val="2DBFA06E"/>
    <w:rsid w:val="3DE6C7CE"/>
    <w:rsid w:val="6EFF4F84"/>
    <w:rsid w:val="76FE2407"/>
    <w:rsid w:val="EF3F64DE"/>
    <w:rsid w:val="FF4B8D32"/>
    <w:rsid w:val="FFFEB0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unhideWhenUsed/>
    <w:qFormat/>
    <w:uiPriority w:val="99"/>
    <w:pPr>
      <w:jc w:val="left"/>
    </w:pPr>
  </w:style>
  <w:style w:type="paragraph" w:styleId="3">
    <w:name w:val="endnote text"/>
    <w:basedOn w:val="1"/>
    <w:link w:val="13"/>
    <w:semiHidden/>
    <w:unhideWhenUsed/>
    <w:qFormat/>
    <w:uiPriority w:val="99"/>
    <w:pPr>
      <w:snapToGrid w:val="0"/>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20"/>
    <w:semiHidden/>
    <w:unhideWhenUsed/>
    <w:qFormat/>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ndnote reference"/>
    <w:semiHidden/>
    <w:unhideWhenUsed/>
    <w:qFormat/>
    <w:uiPriority w:val="99"/>
    <w:rPr>
      <w:vertAlign w:val="superscript"/>
    </w:rPr>
  </w:style>
  <w:style w:type="character" w:styleId="12">
    <w:name w:val="annotation reference"/>
    <w:basedOn w:val="10"/>
    <w:semiHidden/>
    <w:unhideWhenUsed/>
    <w:qFormat/>
    <w:uiPriority w:val="99"/>
    <w:rPr>
      <w:sz w:val="21"/>
      <w:szCs w:val="21"/>
    </w:rPr>
  </w:style>
  <w:style w:type="character" w:customStyle="1" w:styleId="13">
    <w:name w:val="尾注文本 字符"/>
    <w:basedOn w:val="10"/>
    <w:link w:val="3"/>
    <w:semiHidden/>
    <w:qFormat/>
    <w:uiPriority w:val="99"/>
  </w:style>
  <w:style w:type="character" w:customStyle="1" w:styleId="14">
    <w:name w:val="页眉 字符"/>
    <w:link w:val="6"/>
    <w:qFormat/>
    <w:uiPriority w:val="99"/>
    <w:rPr>
      <w:sz w:val="18"/>
      <w:szCs w:val="18"/>
    </w:rPr>
  </w:style>
  <w:style w:type="character" w:customStyle="1" w:styleId="15">
    <w:name w:val="页脚 字符"/>
    <w:link w:val="5"/>
    <w:qFormat/>
    <w:uiPriority w:val="99"/>
    <w:rPr>
      <w:sz w:val="18"/>
      <w:szCs w:val="18"/>
    </w:rPr>
  </w:style>
  <w:style w:type="character" w:customStyle="1" w:styleId="16">
    <w:name w:val="批注框文本 字符"/>
    <w:link w:val="4"/>
    <w:semiHidden/>
    <w:qFormat/>
    <w:uiPriority w:val="99"/>
    <w:rPr>
      <w:kern w:val="2"/>
      <w:sz w:val="18"/>
      <w:szCs w:val="18"/>
    </w:rPr>
  </w:style>
  <w:style w:type="paragraph" w:styleId="17">
    <w:name w:val="List Paragraph"/>
    <w:basedOn w:val="1"/>
    <w:qFormat/>
    <w:uiPriority w:val="34"/>
    <w:pPr>
      <w:ind w:firstLine="420" w:firstLineChars="200"/>
    </w:pPr>
  </w:style>
  <w:style w:type="paragraph" w:customStyle="1" w:styleId="18">
    <w:name w:val="Revision"/>
    <w:hidden/>
    <w:semiHidden/>
    <w:qFormat/>
    <w:uiPriority w:val="99"/>
    <w:rPr>
      <w:rFonts w:ascii="Calibri" w:hAnsi="Calibri" w:eastAsia="宋体" w:cs="Times New Roman"/>
      <w:kern w:val="2"/>
      <w:sz w:val="21"/>
      <w:szCs w:val="22"/>
      <w:lang w:val="en-US" w:eastAsia="zh-CN" w:bidi="ar-SA"/>
    </w:rPr>
  </w:style>
  <w:style w:type="character" w:customStyle="1" w:styleId="19">
    <w:name w:val="批注文字 字符"/>
    <w:basedOn w:val="10"/>
    <w:link w:val="2"/>
    <w:qFormat/>
    <w:uiPriority w:val="99"/>
    <w:rPr>
      <w:kern w:val="2"/>
      <w:sz w:val="21"/>
      <w:szCs w:val="22"/>
    </w:rPr>
  </w:style>
  <w:style w:type="character" w:customStyle="1" w:styleId="20">
    <w:name w:val="批注主题 字符"/>
    <w:basedOn w:val="19"/>
    <w:link w:val="7"/>
    <w:semiHidden/>
    <w:qFormat/>
    <w:uiPriority w:val="99"/>
    <w:rPr>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zhonglun</Company>
  <Pages>2</Pages>
  <Words>144</Words>
  <Characters>826</Characters>
  <Lines>6</Lines>
  <Paragraphs>1</Paragraphs>
  <TotalTime>1</TotalTime>
  <ScaleCrop>false</ScaleCrop>
  <LinksUpToDate>false</LinksUpToDate>
  <CharactersWithSpaces>969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2020-10-14T00:59:00Z</dcterms:created>
  <dc:creator>scjgj</dc:creator>
  <cp:lastModifiedBy>scjgj</cp:lastModifiedBy>
  <cp:lastPrinted>2024-01-08T18:28:00Z</cp:lastPrinted>
  <dcterms:modified xsi:type="dcterms:W3CDTF">2024-01-08T15:35:42Z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