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36"/>
          <w:szCs w:val="36"/>
        </w:rPr>
      </w:pPr>
      <w:r>
        <w:rPr>
          <w:rFonts w:hint="eastAsia" w:ascii="黑体" w:hAnsi="黑体" w:eastAsia="黑体" w:cs="黑体"/>
          <w:bCs/>
          <w:sz w:val="36"/>
          <w:szCs w:val="36"/>
        </w:rPr>
        <w:t>经营者集中简易案件公示表</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995"/>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40" w:type="dxa"/>
            <w:shd w:val="clear" w:color="auto" w:fill="D9D9D9"/>
            <w:vAlign w:val="center"/>
          </w:tcPr>
          <w:p>
            <w:pPr>
              <w:pStyle w:val="2"/>
              <w:adjustRightInd w:val="0"/>
              <w:snapToGrid w:val="0"/>
              <w:spacing w:after="0"/>
              <w:rPr>
                <w:rFonts w:ascii="宋体" w:hAnsi="宋体" w:cs="宋体"/>
                <w:bCs/>
                <w:color w:val="000000"/>
                <w:lang w:val="en-US"/>
              </w:rPr>
            </w:pPr>
            <w:r>
              <w:rPr>
                <w:rFonts w:hint="eastAsia" w:ascii="宋体" w:hAnsi="宋体" w:cs="宋体"/>
                <w:bCs/>
                <w:color w:val="000000"/>
              </w:rPr>
              <w:t>案件名称</w:t>
            </w:r>
          </w:p>
        </w:tc>
        <w:tc>
          <w:tcPr>
            <w:tcW w:w="7700" w:type="dxa"/>
            <w:gridSpan w:val="2"/>
            <w:vAlign w:val="center"/>
          </w:tcPr>
          <w:p>
            <w:pPr>
              <w:adjustRightInd w:val="0"/>
              <w:snapToGrid w:val="0"/>
              <w:spacing w:after="0"/>
              <w:rPr>
                <w:rFonts w:ascii="宋体" w:hAnsi="宋体" w:cs="宋体"/>
                <w:bCs/>
                <w:color w:val="000000"/>
                <w:lang w:val="en-US"/>
              </w:rPr>
            </w:pPr>
            <w:r>
              <w:rPr>
                <w:rFonts w:hint="eastAsia" w:ascii="宋体" w:hAnsi="宋体" w:cs="宋体"/>
                <w:bCs/>
                <w:color w:val="000000"/>
                <w:lang w:val="en-US"/>
              </w:rPr>
              <w:t>河北高速公路集团有限公司收购河北金牛化工股份有限公司股权案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940" w:type="dxa"/>
            <w:shd w:val="clear" w:color="auto" w:fill="D9D9D9"/>
            <w:vAlign w:val="center"/>
          </w:tcPr>
          <w:p>
            <w:pPr>
              <w:pStyle w:val="2"/>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t>交易概况</w:t>
            </w:r>
          </w:p>
        </w:tc>
        <w:tc>
          <w:tcPr>
            <w:tcW w:w="7700" w:type="dxa"/>
            <w:gridSpan w:val="2"/>
            <w:vAlign w:val="center"/>
          </w:tcPr>
          <w:p>
            <w:pPr>
              <w:widowControl w:val="0"/>
              <w:adjustRightInd w:val="0"/>
              <w:snapToGrid w:val="0"/>
              <w:spacing w:after="0"/>
              <w:rPr>
                <w:rFonts w:hint="eastAsia" w:ascii="宋体" w:hAnsi="宋体" w:cs="宋体"/>
                <w:lang w:val="en-US" w:eastAsia="zh-CN"/>
              </w:rPr>
            </w:pPr>
            <w:r>
              <w:rPr>
                <w:rFonts w:hint="eastAsia" w:ascii="宋体" w:hAnsi="宋体" w:cs="宋体"/>
                <w:lang w:val="en-US"/>
              </w:rPr>
              <w:t>河北高速公路集团有限公司（“河北高速</w:t>
            </w:r>
            <w:r>
              <w:rPr>
                <w:rFonts w:hint="eastAsia" w:ascii="宋体" w:hAnsi="宋体" w:cs="宋体"/>
                <w:lang w:val="en-US" w:eastAsia="zh-CN"/>
              </w:rPr>
              <w:t>集团</w:t>
            </w:r>
            <w:r>
              <w:rPr>
                <w:rFonts w:hint="eastAsia" w:ascii="宋体" w:hAnsi="宋体" w:cs="宋体"/>
                <w:lang w:val="en-US"/>
              </w:rPr>
              <w:t>”）</w:t>
            </w:r>
            <w:r>
              <w:rPr>
                <w:rFonts w:hint="eastAsia" w:ascii="宋体" w:hAnsi="宋体" w:cs="宋体"/>
                <w:lang w:val="en-US" w:eastAsia="zh-CN"/>
              </w:rPr>
              <w:t>与</w:t>
            </w:r>
            <w:r>
              <w:rPr>
                <w:rFonts w:hint="eastAsia" w:ascii="宋体" w:hAnsi="宋体" w:cs="宋体"/>
                <w:lang w:val="en-US"/>
              </w:rPr>
              <w:t>冀中能源股份有限公司</w:t>
            </w:r>
            <w:r>
              <w:rPr>
                <w:rFonts w:hint="eastAsia" w:ascii="宋体" w:hAnsi="宋体" w:cs="宋体"/>
                <w:lang w:val="en-US" w:eastAsia="zh-CN"/>
              </w:rPr>
              <w:t>（“冀中股份”）签订</w:t>
            </w:r>
            <w:r>
              <w:rPr>
                <w:rFonts w:hint="eastAsia" w:ascii="宋体" w:hAnsi="宋体" w:cs="宋体"/>
                <w:lang w:val="en-US"/>
              </w:rPr>
              <w:t>《冀中能源股份有限公司与河北高速公路集团有限公司关于河北金牛化工股份有限公司之股份转让协议》</w:t>
            </w:r>
            <w:r>
              <w:rPr>
                <w:rFonts w:hint="eastAsia" w:ascii="宋体" w:hAnsi="宋体" w:cs="宋体"/>
                <w:lang w:val="en-US" w:eastAsia="zh-CN"/>
              </w:rPr>
              <w:t>，河北高速集团收购冀中股份持有的</w:t>
            </w:r>
            <w:r>
              <w:rPr>
                <w:rFonts w:hint="eastAsia" w:ascii="宋体" w:hAnsi="宋体" w:cs="宋体"/>
                <w:lang w:val="en-US"/>
              </w:rPr>
              <w:t>河北金牛化工股份有限公司（“金牛化工”）381,262,977股</w:t>
            </w:r>
            <w:r>
              <w:rPr>
                <w:rFonts w:hint="eastAsia" w:ascii="宋体" w:hAnsi="宋体" w:cs="宋体"/>
                <w:lang w:val="en-US" w:eastAsia="zh-CN"/>
              </w:rPr>
              <w:t>股份，</w:t>
            </w:r>
            <w:r>
              <w:rPr>
                <w:rFonts w:hint="eastAsia" w:ascii="宋体" w:hAnsi="宋体" w:cs="宋体"/>
                <w:lang w:val="en-US"/>
              </w:rPr>
              <w:t>占金牛化工总股本的56.04%</w:t>
            </w:r>
            <w:r>
              <w:rPr>
                <w:rFonts w:hint="eastAsia" w:ascii="宋体" w:hAnsi="宋体" w:cs="宋体"/>
                <w:lang w:val="en-US" w:eastAsia="zh-CN"/>
              </w:rPr>
              <w:t>。</w:t>
            </w:r>
            <w:r>
              <w:rPr>
                <w:rFonts w:hint="eastAsia" w:ascii="宋体" w:hAnsi="宋体" w:cs="宋体"/>
                <w:lang w:val="en-US"/>
              </w:rPr>
              <w:t>金牛化工的主营业务为甲醇生产和销售</w:t>
            </w:r>
            <w:r>
              <w:rPr>
                <w:rFonts w:hint="eastAsia" w:ascii="宋体" w:hAnsi="宋体" w:cs="宋体"/>
                <w:lang w:val="en-US" w:eastAsia="zh-CN"/>
              </w:rPr>
              <w:t>。</w:t>
            </w:r>
          </w:p>
          <w:p>
            <w:pPr>
              <w:widowControl w:val="0"/>
              <w:adjustRightInd w:val="0"/>
              <w:snapToGrid w:val="0"/>
              <w:spacing w:after="0"/>
              <w:rPr>
                <w:rFonts w:hint="eastAsia" w:ascii="宋体" w:hAnsi="宋体" w:cs="宋体"/>
                <w:lang w:val="en-US" w:eastAsia="zh-CN"/>
              </w:rPr>
            </w:pPr>
            <w:r>
              <w:rPr>
                <w:rFonts w:hint="eastAsia" w:ascii="宋体" w:hAnsi="宋体" w:cs="宋体"/>
                <w:lang w:val="en-US" w:eastAsia="zh-CN"/>
              </w:rPr>
              <w:t>交易前，金牛化工由冀中股份单独控制，交易后，金牛化工由河北高速集团单独控制。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940" w:type="dxa"/>
            <w:vMerge w:val="restart"/>
            <w:shd w:val="clear" w:color="auto" w:fill="D9D9D9"/>
            <w:vAlign w:val="center"/>
          </w:tcPr>
          <w:p>
            <w:pPr>
              <w:pStyle w:val="2"/>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t>参与集中的经营者简介</w:t>
            </w:r>
          </w:p>
        </w:tc>
        <w:tc>
          <w:tcPr>
            <w:tcW w:w="995" w:type="dxa"/>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val="en-US" w:eastAsia="zh-CN"/>
              </w:rPr>
              <w:t>1.河北高速集团</w:t>
            </w:r>
          </w:p>
        </w:tc>
        <w:tc>
          <w:tcPr>
            <w:tcW w:w="6705" w:type="dxa"/>
            <w:vAlign w:val="center"/>
          </w:tcPr>
          <w:p>
            <w:pPr>
              <w:widowControl w:val="0"/>
              <w:adjustRightInd w:val="0"/>
              <w:snapToGrid w:val="0"/>
              <w:spacing w:after="0" w:line="240" w:lineRule="atLeast"/>
              <w:rPr>
                <w:rFonts w:ascii="宋体" w:hAnsi="宋体" w:cs="宋体"/>
                <w:bCs/>
                <w:color w:val="000000"/>
              </w:rPr>
            </w:pPr>
            <w:r>
              <w:rPr>
                <w:rFonts w:hint="eastAsia" w:ascii="宋体" w:hAnsi="宋体" w:cs="宋体"/>
                <w:lang w:val="en-US" w:eastAsia="zh-CN"/>
              </w:rPr>
              <w:t>河北高速集团</w:t>
            </w:r>
            <w:r>
              <w:rPr>
                <w:rFonts w:hint="eastAsia" w:ascii="宋体" w:hAnsi="宋体" w:cs="宋体"/>
                <w:lang w:val="en-US"/>
              </w:rPr>
              <w:t>于2019年9月30日成立，注册地为河北省石家庄市，主营业务为政府收费高速公路项目、经营性高速公路项目等</w:t>
            </w:r>
            <w:r>
              <w:rPr>
                <w:rFonts w:hint="eastAsia" w:ascii="宋体" w:hAnsi="宋体" w:cs="宋体"/>
                <w:lang w:val="en-US" w:eastAsia="zh-CN"/>
              </w:rPr>
              <w:t>。</w:t>
            </w:r>
            <w:r>
              <w:rPr>
                <w:rFonts w:hint="eastAsia" w:ascii="宋体" w:hAnsi="宋体" w:cs="宋体"/>
                <w:lang w:val="en-US"/>
              </w:rPr>
              <w:t>为河北省人民政府国有资产监督管理委员会下属企业。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continue"/>
            <w:shd w:val="clear" w:color="auto" w:fill="D9D9D9"/>
            <w:vAlign w:val="center"/>
          </w:tcPr>
          <w:p>
            <w:pPr>
              <w:pStyle w:val="2"/>
              <w:adjustRightInd w:val="0"/>
              <w:snapToGrid w:val="0"/>
              <w:spacing w:after="0"/>
              <w:rPr>
                <w:rFonts w:ascii="宋体" w:hAnsi="宋体" w:cs="宋体"/>
                <w:bCs/>
                <w:color w:val="000000"/>
                <w:lang w:val="en-US" w:eastAsia="zh-CN"/>
              </w:rPr>
            </w:pPr>
          </w:p>
        </w:tc>
        <w:tc>
          <w:tcPr>
            <w:tcW w:w="995" w:type="dxa"/>
            <w:vAlign w:val="center"/>
          </w:tcPr>
          <w:p>
            <w:pPr>
              <w:pStyle w:val="2"/>
              <w:adjustRightInd w:val="0"/>
              <w:snapToGrid w:val="0"/>
              <w:spacing w:after="0" w:line="240" w:lineRule="atLeast"/>
              <w:rPr>
                <w:rFonts w:ascii="宋体" w:hAnsi="宋体" w:cs="宋体"/>
                <w:bCs/>
                <w:color w:val="000000"/>
                <w:lang w:eastAsia="zh-CN"/>
              </w:rPr>
            </w:pPr>
            <w:r>
              <w:rPr>
                <w:rFonts w:hint="eastAsia" w:ascii="宋体" w:hAnsi="宋体" w:cs="宋体"/>
                <w:bCs/>
                <w:color w:val="000000"/>
                <w:lang w:val="en-US" w:eastAsia="zh-CN"/>
              </w:rPr>
              <w:t>2.</w:t>
            </w:r>
            <w:r>
              <w:rPr>
                <w:rFonts w:hint="eastAsia" w:ascii="宋体" w:hAnsi="宋体" w:cs="宋体"/>
                <w:bCs/>
                <w:color w:val="000000"/>
                <w:lang w:eastAsia="zh-CN"/>
              </w:rPr>
              <w:t>金牛化工</w:t>
            </w:r>
          </w:p>
        </w:tc>
        <w:tc>
          <w:tcPr>
            <w:tcW w:w="6705" w:type="dxa"/>
            <w:vAlign w:val="center"/>
          </w:tcPr>
          <w:p>
            <w:pPr>
              <w:adjustRightInd w:val="0"/>
              <w:snapToGrid w:val="0"/>
              <w:spacing w:after="0" w:line="240" w:lineRule="atLeast"/>
              <w:rPr>
                <w:rFonts w:hint="eastAsia" w:ascii="宋体" w:hAnsi="宋体" w:cs="宋体"/>
                <w:lang w:val="en-US"/>
              </w:rPr>
            </w:pPr>
            <w:r>
              <w:rPr>
                <w:rFonts w:hint="eastAsia" w:ascii="宋体" w:hAnsi="宋体" w:cs="宋体"/>
                <w:bCs/>
                <w:color w:val="000000"/>
                <w:lang w:eastAsia="zh-CN"/>
              </w:rPr>
              <w:t>金牛化工</w:t>
            </w:r>
            <w:r>
              <w:rPr>
                <w:rFonts w:hint="eastAsia" w:ascii="宋体" w:hAnsi="宋体" w:cs="宋体"/>
                <w:bCs/>
                <w:color w:val="000000"/>
                <w:lang w:val="en-US"/>
              </w:rPr>
              <w:t>于1996年6月17日成立，注册地为河北省沧州市，为上海证券交易所上市公司，</w:t>
            </w:r>
            <w:r>
              <w:rPr>
                <w:rFonts w:hint="eastAsia" w:ascii="宋体" w:hAnsi="宋体" w:cs="宋体"/>
                <w:lang w:val="en-US"/>
              </w:rPr>
              <w:t>主营业务为控股子公司金牛旭阳的甲醇生产和销售。</w:t>
            </w:r>
          </w:p>
          <w:p>
            <w:pPr>
              <w:adjustRightInd w:val="0"/>
              <w:snapToGrid w:val="0"/>
              <w:spacing w:after="0" w:line="240" w:lineRule="atLeast"/>
              <w:rPr>
                <w:rFonts w:ascii="宋体" w:hAnsi="宋体" w:cs="宋体"/>
                <w:bCs/>
                <w:color w:val="000000"/>
              </w:rPr>
            </w:pPr>
            <w:bookmarkStart w:id="0" w:name="_GoBack"/>
            <w:bookmarkEnd w:id="0"/>
            <w:r>
              <w:rPr>
                <w:rFonts w:hint="eastAsia" w:ascii="宋体" w:hAnsi="宋体" w:cs="宋体"/>
                <w:lang w:val="en-US"/>
              </w:rPr>
              <w:t>最终控制人为</w:t>
            </w:r>
            <w:r>
              <w:rPr>
                <w:rFonts w:hint="eastAsia" w:ascii="宋体" w:hAnsi="宋体" w:cs="宋体"/>
                <w:lang w:val="en-US" w:eastAsia="zh-CN"/>
              </w:rPr>
              <w:t>冀中股份，冀中股份</w:t>
            </w:r>
            <w:r>
              <w:rPr>
                <w:rFonts w:hint="eastAsia" w:ascii="宋体" w:hAnsi="宋体" w:cs="宋体"/>
                <w:lang w:val="en-US"/>
              </w:rPr>
              <w:t>主</w:t>
            </w:r>
            <w:r>
              <w:rPr>
                <w:rFonts w:hint="eastAsia" w:ascii="宋体" w:hAnsi="宋体" w:cs="宋体"/>
                <w:lang w:val="en-US" w:eastAsia="zh-CN"/>
              </w:rPr>
              <w:t>要</w:t>
            </w:r>
            <w:r>
              <w:rPr>
                <w:rFonts w:hint="eastAsia" w:ascii="宋体" w:hAnsi="宋体" w:cs="宋体"/>
                <w:lang w:val="en-US"/>
              </w:rPr>
              <w:t>业务为煤炭、化工、电力、建材四大板块。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restart"/>
            <w:shd w:val="clear" w:color="auto" w:fill="D9D9D9"/>
            <w:vAlign w:val="center"/>
          </w:tcPr>
          <w:p>
            <w:pPr>
              <w:pStyle w:val="2"/>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t>简易案件理由</w:t>
            </w:r>
          </w:p>
        </w:tc>
        <w:tc>
          <w:tcPr>
            <w:tcW w:w="7700" w:type="dxa"/>
            <w:gridSpan w:val="2"/>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40" w:type="dxa"/>
            <w:vMerge w:val="continue"/>
            <w:shd w:val="clear" w:color="auto" w:fill="D9D9D9"/>
            <w:vAlign w:val="center"/>
          </w:tcPr>
          <w:p>
            <w:pPr>
              <w:pStyle w:val="2"/>
              <w:adjustRightInd w:val="0"/>
              <w:snapToGrid w:val="0"/>
              <w:spacing w:after="0"/>
              <w:rPr>
                <w:rFonts w:ascii="宋体" w:hAnsi="宋体" w:cs="宋体"/>
                <w:bCs/>
                <w:color w:val="000000"/>
                <w:lang w:val="en-US" w:eastAsia="zh-CN"/>
              </w:rPr>
            </w:pPr>
          </w:p>
        </w:tc>
        <w:tc>
          <w:tcPr>
            <w:tcW w:w="7700" w:type="dxa"/>
            <w:gridSpan w:val="2"/>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40" w:type="dxa"/>
            <w:vMerge w:val="continue"/>
            <w:shd w:val="clear" w:color="auto" w:fill="D9D9D9"/>
            <w:vAlign w:val="center"/>
          </w:tcPr>
          <w:p>
            <w:pPr>
              <w:pStyle w:val="2"/>
              <w:adjustRightInd w:val="0"/>
              <w:snapToGrid w:val="0"/>
              <w:spacing w:after="0"/>
              <w:rPr>
                <w:rFonts w:ascii="宋体" w:hAnsi="宋体" w:cs="宋体"/>
                <w:bCs/>
                <w:color w:val="000000"/>
                <w:lang w:val="en-US" w:eastAsia="zh-CN"/>
              </w:rPr>
            </w:pPr>
          </w:p>
        </w:tc>
        <w:tc>
          <w:tcPr>
            <w:tcW w:w="7700" w:type="dxa"/>
            <w:gridSpan w:val="2"/>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sym w:font="Wingdings" w:char="00FE"/>
            </w:r>
            <w:r>
              <w:rPr>
                <w:rFonts w:hint="eastAsia" w:ascii="宋体" w:hAnsi="宋体" w:cs="宋体"/>
                <w:bCs/>
                <w:color w:val="000000"/>
                <w:lang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40" w:type="dxa"/>
            <w:vMerge w:val="continue"/>
            <w:shd w:val="clear" w:color="auto" w:fill="D9D9D9"/>
            <w:vAlign w:val="center"/>
          </w:tcPr>
          <w:p>
            <w:pPr>
              <w:pStyle w:val="2"/>
              <w:adjustRightInd w:val="0"/>
              <w:snapToGrid w:val="0"/>
              <w:spacing w:after="0"/>
              <w:rPr>
                <w:rFonts w:ascii="宋体" w:hAnsi="宋体" w:cs="宋体"/>
                <w:bCs/>
                <w:color w:val="000000"/>
                <w:lang w:val="en-US" w:eastAsia="zh-CN"/>
              </w:rPr>
            </w:pPr>
          </w:p>
        </w:tc>
        <w:tc>
          <w:tcPr>
            <w:tcW w:w="7700" w:type="dxa"/>
            <w:gridSpan w:val="2"/>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40" w:type="dxa"/>
            <w:vMerge w:val="continue"/>
            <w:shd w:val="clear" w:color="auto" w:fill="D9D9D9"/>
            <w:vAlign w:val="center"/>
          </w:tcPr>
          <w:p>
            <w:pPr>
              <w:pStyle w:val="2"/>
              <w:adjustRightInd w:val="0"/>
              <w:snapToGrid w:val="0"/>
              <w:spacing w:after="0"/>
              <w:rPr>
                <w:rFonts w:ascii="宋体" w:hAnsi="宋体" w:cs="宋体"/>
                <w:bCs/>
                <w:color w:val="000000"/>
                <w:lang w:val="en-US" w:eastAsia="zh-CN"/>
              </w:rPr>
            </w:pPr>
          </w:p>
        </w:tc>
        <w:tc>
          <w:tcPr>
            <w:tcW w:w="7700" w:type="dxa"/>
            <w:gridSpan w:val="2"/>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0" w:type="dxa"/>
            <w:vMerge w:val="continue"/>
            <w:shd w:val="clear" w:color="auto" w:fill="D9D9D9"/>
            <w:vAlign w:val="center"/>
          </w:tcPr>
          <w:p>
            <w:pPr>
              <w:pStyle w:val="2"/>
              <w:adjustRightInd w:val="0"/>
              <w:snapToGrid w:val="0"/>
              <w:spacing w:after="0"/>
              <w:rPr>
                <w:rFonts w:ascii="宋体" w:hAnsi="宋体" w:cs="宋体"/>
                <w:bCs/>
                <w:color w:val="000000"/>
                <w:lang w:val="en-US" w:eastAsia="zh-CN"/>
              </w:rPr>
            </w:pPr>
          </w:p>
        </w:tc>
        <w:tc>
          <w:tcPr>
            <w:tcW w:w="7700" w:type="dxa"/>
            <w:gridSpan w:val="2"/>
            <w:vAlign w:val="center"/>
          </w:tcPr>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940" w:type="dxa"/>
            <w:shd w:val="clear" w:color="auto" w:fill="D9D9D9"/>
            <w:vAlign w:val="center"/>
          </w:tcPr>
          <w:p>
            <w:pPr>
              <w:pStyle w:val="2"/>
              <w:adjustRightInd w:val="0"/>
              <w:snapToGrid w:val="0"/>
              <w:spacing w:after="0"/>
              <w:rPr>
                <w:rFonts w:ascii="宋体" w:hAnsi="宋体" w:cs="宋体"/>
                <w:bCs/>
                <w:color w:val="000000"/>
                <w:lang w:val="en-US" w:eastAsia="zh-CN"/>
              </w:rPr>
            </w:pPr>
            <w:r>
              <w:rPr>
                <w:rFonts w:hint="eastAsia" w:ascii="宋体" w:hAnsi="宋体" w:cs="宋体"/>
                <w:bCs/>
                <w:color w:val="000000"/>
                <w:lang w:val="en-US" w:eastAsia="zh-CN"/>
              </w:rPr>
              <w:t>备注</w:t>
            </w:r>
          </w:p>
        </w:tc>
        <w:tc>
          <w:tcPr>
            <w:tcW w:w="7700" w:type="dxa"/>
            <w:gridSpan w:val="2"/>
            <w:vAlign w:val="center"/>
          </w:tcPr>
          <w:p>
            <w:pPr>
              <w:pStyle w:val="2"/>
              <w:adjustRightInd w:val="0"/>
              <w:snapToGrid w:val="0"/>
              <w:spacing w:after="0" w:line="240" w:lineRule="atLeast"/>
              <w:rPr>
                <w:rFonts w:hint="eastAsia" w:ascii="宋体" w:hAnsi="宋体" w:cs="宋体"/>
                <w:bCs/>
                <w:color w:val="000000"/>
                <w:lang w:val="en-US" w:eastAsia="zh-CN"/>
              </w:rPr>
            </w:pPr>
            <w:r>
              <w:rPr>
                <w:rFonts w:hint="eastAsia" w:ascii="宋体" w:hAnsi="宋体" w:cs="宋体"/>
                <w:bCs/>
                <w:color w:val="000000"/>
                <w:lang w:val="en-US" w:eastAsia="zh-CN"/>
              </w:rPr>
              <w:t>混合集中</w:t>
            </w:r>
          </w:p>
          <w:p>
            <w:pPr>
              <w:pStyle w:val="2"/>
              <w:adjustRightInd w:val="0"/>
              <w:snapToGrid w:val="0"/>
              <w:spacing w:after="0" w:line="240" w:lineRule="atLeast"/>
              <w:rPr>
                <w:rFonts w:hint="eastAsia" w:ascii="宋体" w:hAnsi="宋体" w:cs="宋体"/>
                <w:bCs/>
                <w:color w:val="000000"/>
                <w:lang w:val="en-US" w:eastAsia="zh-CN"/>
              </w:rPr>
            </w:pPr>
            <w:r>
              <w:rPr>
                <w:rFonts w:hint="eastAsia" w:ascii="宋体" w:hAnsi="宋体" w:cs="宋体"/>
                <w:bCs/>
                <w:color w:val="000000"/>
                <w:lang w:val="en-US" w:eastAsia="zh-CN"/>
              </w:rPr>
              <w:t>2021年中国境内甲醇市场：</w:t>
            </w:r>
          </w:p>
          <w:p>
            <w:pPr>
              <w:pStyle w:val="2"/>
              <w:adjustRightInd w:val="0"/>
              <w:snapToGrid w:val="0"/>
              <w:spacing w:after="0" w:line="240" w:lineRule="atLeast"/>
              <w:rPr>
                <w:rFonts w:ascii="宋体" w:hAnsi="宋体" w:cs="宋体"/>
                <w:bCs/>
                <w:color w:val="000000"/>
                <w:lang w:val="en-US" w:eastAsia="zh-CN"/>
              </w:rPr>
            </w:pPr>
            <w:r>
              <w:rPr>
                <w:rFonts w:hint="eastAsia" w:ascii="宋体" w:hAnsi="宋体" w:cs="宋体"/>
                <w:bCs/>
                <w:color w:val="000000"/>
                <w:lang w:eastAsia="zh-CN"/>
              </w:rPr>
              <w:t>金牛化工：</w:t>
            </w:r>
            <w:r>
              <w:rPr>
                <w:rFonts w:hint="eastAsia" w:ascii="宋体" w:hAnsi="宋体" w:cs="宋体"/>
                <w:bCs/>
                <w:color w:val="000000"/>
                <w:lang w:val="en-US" w:eastAsia="zh-CN"/>
              </w:rPr>
              <w:t>0.28%</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plified Arabic">
    <w:altName w:val="Times New Roman"/>
    <w:panose1 w:val="00000000000000000000"/>
    <w:charset w:val="00"/>
    <w:family w:val="roman"/>
    <w:pitch w:val="default"/>
    <w:sig w:usb0="00000000" w:usb1="00000000" w:usb2="00000000" w:usb3="00000000" w:csb0="00000041" w:csb1="2008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TVjZjYzOGRjMmEwY2IzMDAzOGQ3YzBmM2ExMDIifQ=="/>
  </w:docVars>
  <w:rsids>
    <w:rsidRoot w:val="1D12659D"/>
    <w:rsid w:val="00865E39"/>
    <w:rsid w:val="009D7D64"/>
    <w:rsid w:val="00DB0A14"/>
    <w:rsid w:val="02A54B3C"/>
    <w:rsid w:val="02BC4D09"/>
    <w:rsid w:val="05992F9F"/>
    <w:rsid w:val="0FB1705B"/>
    <w:rsid w:val="0FFC3E38"/>
    <w:rsid w:val="1D12659D"/>
    <w:rsid w:val="20063A52"/>
    <w:rsid w:val="33AA1331"/>
    <w:rsid w:val="466C09B2"/>
    <w:rsid w:val="47A57D9D"/>
    <w:rsid w:val="527A5F96"/>
    <w:rsid w:val="589D0BB5"/>
    <w:rsid w:val="5979268C"/>
    <w:rsid w:val="6055773C"/>
    <w:rsid w:val="64E366CE"/>
    <w:rsid w:val="6AC36259"/>
    <w:rsid w:val="6ACB7804"/>
    <w:rsid w:val="6B8110CB"/>
    <w:rsid w:val="6EB04C5F"/>
    <w:rsid w:val="DC6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jc w:val="both"/>
    </w:pPr>
    <w:rPr>
      <w:rFonts w:ascii="Times New Roman" w:hAnsi="Times New Roman" w:eastAsia="宋体" w:cs="Times New Roman"/>
      <w:sz w:val="24"/>
      <w:szCs w:val="24"/>
      <w:lang w:val="en-GB" w:eastAsia="zh-CN" w:bidi="ar-A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cs="Simplified Arabic"/>
      <w:lang w:eastAsia="en-GB"/>
    </w:rPr>
  </w:style>
  <w:style w:type="paragraph" w:styleId="3">
    <w:name w:val="Normal (Web)"/>
    <w:basedOn w:val="1"/>
    <w:qFormat/>
    <w:uiPriority w:val="0"/>
    <w:pPr>
      <w:spacing w:beforeAutospacing="1" w:after="0" w:afterAutospacing="1"/>
      <w:jc w:val="left"/>
    </w:pPr>
    <w:rPr>
      <w:lang w:val="en-US" w:bidi="ar-SA"/>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757</Words>
  <Characters>795</Characters>
  <Lines>6</Lines>
  <Paragraphs>1</Paragraphs>
  <TotalTime>13</TotalTime>
  <ScaleCrop>false</ScaleCrop>
  <LinksUpToDate>false</LinksUpToDate>
  <CharactersWithSpaces>802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2022-10-20T11:29:00Z</dcterms:created>
  <dc:creator>MX</dc:creator>
  <cp:lastModifiedBy>oa</cp:lastModifiedBy>
  <cp:lastPrinted>2022-11-07T17:26:48Z</cp:lastPrinted>
  <dcterms:modified xsi:type="dcterms:W3CDTF">2022-11-07T17:28:16Z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735D4EE323F2480AA2216B59B0ABA316</vt:lpwstr>
  </property>
</Properties>
</file>