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AEF9" w14:textId="77777777" w:rsidR="0016337D" w:rsidRDefault="0016337D">
      <w:pPr>
        <w:snapToGrid w:val="0"/>
        <w:spacing w:before="100" w:beforeAutospacing="1" w:after="100" w:afterAutospacing="1"/>
        <w:jc w:val="left"/>
        <w:rPr>
          <w:rFonts w:ascii="Times New Roman" w:hAnsi="Times New Roman"/>
          <w:b/>
          <w:szCs w:val="21"/>
        </w:rPr>
      </w:pPr>
    </w:p>
    <w:p w14:paraId="1FBB5F79" w14:textId="77777777" w:rsidR="0016337D" w:rsidRDefault="00E25FE0">
      <w:pPr>
        <w:spacing w:line="440" w:lineRule="exact"/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t>经营者集中简易案件公示表</w:t>
      </w:r>
    </w:p>
    <w:p w14:paraId="724A76B3" w14:textId="77777777" w:rsidR="0016337D" w:rsidRDefault="0016337D">
      <w:pPr>
        <w:spacing w:line="440" w:lineRule="exact"/>
        <w:rPr>
          <w:rFonts w:ascii="黑体" w:eastAsia="黑体" w:hAnsi="Times New Roman"/>
          <w:sz w:val="28"/>
          <w:szCs w:val="28"/>
        </w:rPr>
      </w:pPr>
    </w:p>
    <w:p w14:paraId="2DB8B7C0" w14:textId="77777777" w:rsidR="0016337D" w:rsidRDefault="0016337D">
      <w:pPr>
        <w:spacing w:line="440" w:lineRule="exact"/>
        <w:ind w:firstLineChars="302" w:firstLine="846"/>
        <w:rPr>
          <w:rFonts w:ascii="仿宋_GB2312" w:eastAsia="仿宋_GB2312" w:hAnsi="Times New Roman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16337D" w14:paraId="585BDF2C" w14:textId="77777777">
        <w:tc>
          <w:tcPr>
            <w:tcW w:w="1809" w:type="dxa"/>
            <w:shd w:val="clear" w:color="auto" w:fill="D9D9D9"/>
            <w:vAlign w:val="center"/>
          </w:tcPr>
          <w:p w14:paraId="226E0B02" w14:textId="77777777" w:rsidR="0016337D" w:rsidRDefault="00E25FE0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  <w:vAlign w:val="center"/>
          </w:tcPr>
          <w:p w14:paraId="72A8FF6D" w14:textId="29D89BCE" w:rsidR="0016337D" w:rsidRDefault="0002283B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0228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  <w:proofErr w:type="gramStart"/>
            <w:r w:rsidRPr="000228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曜</w:t>
            </w:r>
            <w:proofErr w:type="gramEnd"/>
            <w:r w:rsidRPr="000228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之星汽车贸易有限公司</w:t>
            </w:r>
            <w:proofErr w:type="gramStart"/>
            <w:r w:rsidRPr="000228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收购</w:t>
            </w:r>
            <w:r w:rsidR="001B0FDC" w:rsidRPr="001B0FD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驻</w:t>
            </w:r>
            <w:proofErr w:type="gramEnd"/>
            <w:r w:rsidR="001B0FDC" w:rsidRPr="001B0FD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马店鹏龙得佳汽车销售服务有限公司</w:t>
            </w:r>
            <w:r w:rsidRPr="000228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股权案</w:t>
            </w:r>
          </w:p>
        </w:tc>
      </w:tr>
      <w:tr w:rsidR="0016337D" w14:paraId="25118125" w14:textId="77777777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14:paraId="578D8E73" w14:textId="77777777" w:rsidR="0016337D" w:rsidRDefault="00E25FE0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交易概况</w:t>
            </w:r>
          </w:p>
          <w:p w14:paraId="6C9EA818" w14:textId="77777777" w:rsidR="0016337D" w:rsidRDefault="00E25FE0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（限200字内）</w:t>
            </w:r>
          </w:p>
        </w:tc>
        <w:tc>
          <w:tcPr>
            <w:tcW w:w="6949" w:type="dxa"/>
            <w:gridSpan w:val="2"/>
            <w:vAlign w:val="center"/>
          </w:tcPr>
          <w:p w14:paraId="1DA38427" w14:textId="71F974A1" w:rsidR="0016337D" w:rsidRDefault="0002283B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0228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  <w:proofErr w:type="gramStart"/>
            <w:r w:rsidRPr="000228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曜</w:t>
            </w:r>
            <w:proofErr w:type="gramEnd"/>
            <w:r w:rsidRPr="000228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之星汽车贸易有限公司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（“日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曜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之星”）与</w:t>
            </w:r>
            <w:r w:rsidRPr="0002283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河南朗润汽车销售有限公司</w:t>
            </w:r>
            <w:r w:rsidR="000B058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（“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河南朗润</w:t>
            </w:r>
            <w:r w:rsidR="000B058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”）</w:t>
            </w:r>
            <w:r w:rsidR="00B45D94" w:rsidRPr="00465D4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于</w:t>
            </w:r>
            <w:r w:rsidR="00465D43" w:rsidRPr="00465D4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465D43" w:rsidRPr="00465D43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022</w:t>
            </w:r>
            <w:r w:rsidR="00E25FE0" w:rsidRPr="00465D4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465D43" w:rsidRPr="00465D4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  <w:r w:rsidR="00B45D94" w:rsidRPr="00465D4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465D43" w:rsidRPr="00465D4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 w:rsidR="00B45D94" w:rsidRPr="00465D4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  <w:r w:rsidR="00E25FE0" w:rsidRPr="00465D4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签署</w:t>
            </w:r>
            <w:r w:rsidR="000B058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股权转让协议</w:t>
            </w:r>
            <w:r w:rsidR="00E25FE0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，拟</w:t>
            </w:r>
            <w:r w:rsidR="000B058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将其持有的</w:t>
            </w:r>
            <w:r w:rsidR="00D36899" w:rsidRPr="001B0FD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驻马店鹏龙得佳汽车销售服务有限公司</w:t>
            </w:r>
            <w:r w:rsidR="000B058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（“</w:t>
            </w:r>
            <w:r w:rsidR="00D3689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驻马店</w:t>
            </w:r>
            <w:r w:rsidR="002A1200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鹏龙</w:t>
            </w:r>
            <w:r w:rsidR="000B058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”）</w:t>
            </w:r>
            <w:r w:rsidR="006B59B8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6B59B8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9</w:t>
            </w:r>
            <w:r w:rsidR="006B59B8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%的股权转让给</w:t>
            </w:r>
            <w:r w:rsidR="00D3689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  <w:proofErr w:type="gramStart"/>
            <w:r w:rsidR="00D3689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曜</w:t>
            </w:r>
            <w:proofErr w:type="gramEnd"/>
            <w:r w:rsidR="00D3689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之星</w:t>
            </w:r>
            <w:r w:rsidR="0057720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驻马店鹏</w:t>
            </w:r>
            <w:proofErr w:type="gramStart"/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龙主要</w:t>
            </w:r>
            <w:proofErr w:type="gramEnd"/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从事</w:t>
            </w:r>
            <w:r w:rsidR="00DB22B9" w:rsidRPr="00CF721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梅赛德斯奔驰汽车经销</w:t>
            </w:r>
            <w:r w:rsidR="00DB22B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业务</w:t>
            </w:r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。交易前，</w:t>
            </w:r>
            <w:r w:rsidR="003B2914" w:rsidRPr="00B45D9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北京鹏龙行汽车贸易有限公司</w:t>
            </w:r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（“鹏龙行”）</w:t>
            </w:r>
            <w:proofErr w:type="gramStart"/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持有驻</w:t>
            </w:r>
            <w:proofErr w:type="gramEnd"/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马店鹏龙5</w:t>
            </w:r>
            <w:r w:rsidR="003B2914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%的股权，河南朗润</w:t>
            </w:r>
            <w:proofErr w:type="gramStart"/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持有驻</w:t>
            </w:r>
            <w:proofErr w:type="gramEnd"/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马店鹏龙4</w:t>
            </w:r>
            <w:r w:rsidR="003B2914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9</w:t>
            </w:r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%的股权，双方共同控制</w:t>
            </w:r>
            <w:r w:rsidR="0007662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驻马店</w:t>
            </w:r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鹏龙。股权转让后，鹏</w:t>
            </w:r>
            <w:proofErr w:type="gramStart"/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龙行占比</w:t>
            </w:r>
            <w:proofErr w:type="gramEnd"/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3B2914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</w:t>
            </w:r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%，日</w:t>
            </w:r>
            <w:proofErr w:type="gramStart"/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曜</w:t>
            </w:r>
            <w:proofErr w:type="gramEnd"/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之星占比4</w:t>
            </w:r>
            <w:r w:rsidR="003B2914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9</w:t>
            </w:r>
            <w:r w:rsidR="003B29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%，双方构成共同控制。</w:t>
            </w:r>
          </w:p>
        </w:tc>
      </w:tr>
      <w:tr w:rsidR="0057720F" w14:paraId="6C997251" w14:textId="77777777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2B942C07" w14:textId="77777777" w:rsidR="0057720F" w:rsidRDefault="0057720F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参与集中的</w:t>
            </w:r>
          </w:p>
          <w:p w14:paraId="6E69DC3C" w14:textId="77777777" w:rsidR="0057720F" w:rsidRDefault="0057720F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</w:tcPr>
          <w:p w14:paraId="6E32E5E0" w14:textId="0C67887E" w:rsidR="0057720F" w:rsidRDefault="009B0D04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鹏龙行</w:t>
            </w:r>
          </w:p>
        </w:tc>
        <w:tc>
          <w:tcPr>
            <w:tcW w:w="5153" w:type="dxa"/>
          </w:tcPr>
          <w:p w14:paraId="31A9BAC9" w14:textId="15C0AB49" w:rsidR="0057720F" w:rsidRDefault="00CC1DA3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  <w:r w:rsidR="009B0D04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07</w:t>
            </w:r>
            <w:r w:rsidR="006543F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9B0D0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9B0D04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  <w:r w:rsidR="0057720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月</w:t>
            </w:r>
            <w:r w:rsidR="009B0D0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9B0D04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6</w:t>
            </w:r>
            <w:r w:rsidR="0057720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日</w:t>
            </w:r>
            <w:r w:rsidR="0057720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成立</w:t>
            </w:r>
            <w:r w:rsidR="0057720F" w:rsidRPr="001D19D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于</w:t>
            </w:r>
            <w:r w:rsidR="009176A8" w:rsidRPr="001D19D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北京市</w:t>
            </w:r>
            <w:r w:rsidR="0057720F" w:rsidRPr="001D19D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="006E5F99" w:rsidRPr="006E5F9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主要从事汽车</w:t>
            </w:r>
            <w:r w:rsidR="005D0F6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供应</w:t>
            </w:r>
            <w:r w:rsidR="006E5F99" w:rsidRPr="006E5F9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业务，包括梅赛德斯奔驰、北京汽车、北京现代汽车、北汽新能源和AF</w:t>
            </w:r>
            <w:proofErr w:type="gramStart"/>
            <w:r w:rsidR="006E5F99" w:rsidRPr="006E5F9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极</w:t>
            </w:r>
            <w:proofErr w:type="gramEnd"/>
            <w:r w:rsidR="006E5F99" w:rsidRPr="006E5F9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狐。此外，鹏龙行还经营汽车配件、物流等业务。</w:t>
            </w:r>
          </w:p>
          <w:p w14:paraId="576F86F6" w14:textId="13993879" w:rsidR="0057720F" w:rsidRDefault="0057720F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最终控制人为</w:t>
            </w:r>
            <w:r w:rsidR="0030657F" w:rsidRPr="0030657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北京汽车集团有限公司</w:t>
            </w:r>
            <w:r w:rsidR="00771CE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（“北汽集团”）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。主要从事</w:t>
            </w:r>
            <w:r w:rsidR="0030657F" w:rsidRPr="0030657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整车制造、研发、零部件制造、金融、汽车服务贸易、通用航空、国际化业务和新能源汽车等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业务。</w:t>
            </w:r>
          </w:p>
        </w:tc>
      </w:tr>
      <w:tr w:rsidR="0057720F" w14:paraId="4DEB9FFA" w14:textId="77777777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55C37D4B" w14:textId="77777777" w:rsidR="0057720F" w:rsidRDefault="0057720F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7AA876E" w14:textId="51299D4A" w:rsidR="0057720F" w:rsidRDefault="006E5F99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曜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之星</w:t>
            </w:r>
          </w:p>
        </w:tc>
        <w:tc>
          <w:tcPr>
            <w:tcW w:w="5153" w:type="dxa"/>
            <w:vAlign w:val="center"/>
          </w:tcPr>
          <w:p w14:paraId="64569655" w14:textId="77777777" w:rsidR="0057720F" w:rsidRDefault="00696720" w:rsidP="00247B25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  <w:r w:rsidR="00247B25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20</w:t>
            </w:r>
            <w:r w:rsidR="0057720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247B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247B25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</w:t>
            </w:r>
            <w:r w:rsidR="0057720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247B25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6</w:t>
            </w:r>
            <w:r w:rsidR="0057720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日成立</w:t>
            </w:r>
            <w:r w:rsidR="0057720F" w:rsidRPr="001D19D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于</w:t>
            </w:r>
            <w:r w:rsidR="00247B25" w:rsidRPr="001D19D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北京</w:t>
            </w:r>
            <w:r w:rsidR="00B83598" w:rsidRPr="001D19D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市</w:t>
            </w:r>
            <w:r w:rsidR="0057720F" w:rsidRPr="001D19D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  <w:r w:rsidR="0057720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主要</w:t>
            </w:r>
            <w:r w:rsidR="00247B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经营目的为</w:t>
            </w:r>
            <w:r w:rsidR="00247B25" w:rsidRPr="00247B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投资梅赛德斯奔驰经销店</w:t>
            </w:r>
            <w:r w:rsidR="00F960E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30A1E56F" w14:textId="15D055BD" w:rsidR="00956A4C" w:rsidRPr="00956A4C" w:rsidRDefault="00956A4C" w:rsidP="00956A4C">
            <w:pPr>
              <w:spacing w:line="500" w:lineRule="exact"/>
            </w:pPr>
            <w:r w:rsidRPr="00956A4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最终控制人为</w:t>
            </w:r>
            <w:r w:rsidR="001D19D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自然人</w:t>
            </w:r>
            <w:r w:rsidRPr="00956A4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，主要业务为家用电器批发销售业务、风电叶片研发生产、电机的研发生产、酒类批发销售、仓储物流快运。</w:t>
            </w:r>
          </w:p>
        </w:tc>
      </w:tr>
      <w:tr w:rsidR="0057720F" w14:paraId="6AEBF191" w14:textId="77777777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14:paraId="4F13F0AE" w14:textId="77777777" w:rsidR="0057720F" w:rsidRDefault="0057720F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B052392" w14:textId="27DCAB8B" w:rsidR="0057720F" w:rsidRDefault="00D36899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驻马店</w:t>
            </w:r>
            <w:r w:rsidR="00D15D48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鹏龙</w:t>
            </w:r>
          </w:p>
        </w:tc>
        <w:tc>
          <w:tcPr>
            <w:tcW w:w="5153" w:type="dxa"/>
            <w:vAlign w:val="center"/>
          </w:tcPr>
          <w:p w14:paraId="6A36BB20" w14:textId="77777777" w:rsidR="00756D5A" w:rsidRDefault="00756D5A" w:rsidP="00B83598">
            <w:pPr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  <w:r w:rsidR="00CF721F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E85E1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85E1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E85E1C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日成立</w:t>
            </w:r>
            <w:r w:rsidRPr="001D19D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于</w:t>
            </w:r>
            <w:r w:rsidR="00CF721F" w:rsidRPr="001D19D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河南</w:t>
            </w:r>
            <w:r w:rsidR="00B83598" w:rsidRPr="001D19D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省</w:t>
            </w:r>
            <w:r w:rsidR="004660AF" w:rsidRPr="001D19D2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驻马店市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。主要</w:t>
            </w:r>
            <w:r w:rsidR="00CF721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从事</w:t>
            </w:r>
            <w:r w:rsidR="00CF721F" w:rsidRPr="00CF721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梅赛德斯奔驰汽车经销业务</w:t>
            </w:r>
            <w:r w:rsidR="00E85E1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1F326225" w14:textId="3C2B2BD3" w:rsidR="001D19D2" w:rsidRPr="001D19D2" w:rsidRDefault="001D19D2" w:rsidP="009E03A9">
            <w:pPr>
              <w:spacing w:line="500" w:lineRule="exac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驻马店</w:t>
            </w:r>
            <w:r w:rsidRPr="00D42ED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鹏</w:t>
            </w:r>
            <w:proofErr w:type="gramStart"/>
            <w:r w:rsidRPr="00D42ED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龙最终</w:t>
            </w:r>
            <w:proofErr w:type="gramEnd"/>
            <w:r w:rsidRPr="00D42ED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控制人为北汽集团和自然人。其中，北汽集团的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主要业务为</w:t>
            </w:r>
            <w:r w:rsidRPr="0030657F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整车制造、研发、零部件制造、金融、汽车服务贸易、通用航空、国际化业务和新能源汽车等</w:t>
            </w:r>
            <w:r w:rsidRPr="00D42ED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自然人</w:t>
            </w:r>
            <w:r w:rsidRPr="00D42ED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的主要业务为汽车服务贸易等。</w:t>
            </w:r>
          </w:p>
        </w:tc>
      </w:tr>
      <w:tr w:rsidR="0016337D" w14:paraId="683749BB" w14:textId="77777777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63650CB0" w14:textId="77777777" w:rsidR="0016337D" w:rsidRDefault="00E25FE0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36A4B818" w14:textId="6BD9C1FC" w:rsidR="0016337D" w:rsidRDefault="005D0F62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="00E25FE0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1.在同一相关市场，所有参与集中的经营者所占市场份额之和小于15%。</w:t>
            </w:r>
          </w:p>
        </w:tc>
      </w:tr>
      <w:tr w:rsidR="0016337D" w14:paraId="1516F62A" w14:textId="77777777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14:paraId="2C14830C" w14:textId="77777777" w:rsidR="0016337D" w:rsidRDefault="0016337D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29F41D5B" w14:textId="7A12FBD6" w:rsidR="0016337D" w:rsidRDefault="0007662C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sym w:font="Wingdings" w:char="F0FE"/>
            </w:r>
            <w:r w:rsidR="00E25FE0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2.存在上下游关系的参与集中的经营者，在上下游市场所占的市场份额均小于25%。</w:t>
            </w:r>
          </w:p>
        </w:tc>
      </w:tr>
      <w:tr w:rsidR="0016337D" w14:paraId="2C343E83" w14:textId="77777777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14:paraId="2CEE7563" w14:textId="77777777" w:rsidR="0016337D" w:rsidRDefault="0016337D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531A1F6B" w14:textId="552EA8EA" w:rsidR="0016337D" w:rsidRDefault="0007662C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="00E25FE0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3.不在同一相关市场、也不存在上下游关系的参与集中的经营者，在与交易有关的每个市场所占的份额均小于25%。</w:t>
            </w:r>
          </w:p>
        </w:tc>
      </w:tr>
      <w:tr w:rsidR="0016337D" w14:paraId="5155DB45" w14:textId="77777777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14:paraId="6B4EFDFB" w14:textId="77777777" w:rsidR="0016337D" w:rsidRDefault="0016337D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50727095" w14:textId="77777777" w:rsidR="0016337D" w:rsidRDefault="00E25FE0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□4.参与集中的经营者在中国境外设立合营企业，合营企业不在中国境内从事经济活动。</w:t>
            </w:r>
          </w:p>
        </w:tc>
      </w:tr>
      <w:tr w:rsidR="0016337D" w14:paraId="1EF10A26" w14:textId="77777777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14:paraId="65C9C96B" w14:textId="77777777" w:rsidR="0016337D" w:rsidRDefault="0016337D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09410888" w14:textId="77777777" w:rsidR="0016337D" w:rsidRDefault="00E25FE0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□5.参与集中的经营者收购境外企业股权或资产的，该境外企业不在中国境内从事经济活动。</w:t>
            </w:r>
          </w:p>
        </w:tc>
      </w:tr>
      <w:tr w:rsidR="0016337D" w14:paraId="047C2FE8" w14:textId="77777777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14:paraId="201F04E3" w14:textId="77777777" w:rsidR="0016337D" w:rsidRDefault="0016337D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610B2AF7" w14:textId="77777777" w:rsidR="0016337D" w:rsidRDefault="00E25FE0">
            <w:pPr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□6.由两个以上的经营者共同控制的合营企业，通过集中被其中一个或一个以上经营者控制。</w:t>
            </w:r>
          </w:p>
        </w:tc>
      </w:tr>
      <w:tr w:rsidR="0016337D" w14:paraId="59C560C6" w14:textId="77777777">
        <w:tc>
          <w:tcPr>
            <w:tcW w:w="1809" w:type="dxa"/>
            <w:shd w:val="clear" w:color="auto" w:fill="D9D9D9"/>
            <w:vAlign w:val="center"/>
          </w:tcPr>
          <w:p w14:paraId="2B469985" w14:textId="77777777" w:rsidR="0016337D" w:rsidRDefault="00E25FE0">
            <w:pPr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 w14:paraId="442C5432" w14:textId="7109D2C1" w:rsidR="0007662C" w:rsidRPr="00380076" w:rsidRDefault="0007662C" w:rsidP="006D1027">
            <w:pPr>
              <w:pStyle w:val="a0"/>
              <w:spacing w:after="0" w:line="360" w:lineRule="auto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380076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纵向关联：</w:t>
            </w:r>
          </w:p>
          <w:p w14:paraId="73A6E631" w14:textId="38EF8510" w:rsidR="0007662C" w:rsidRPr="00380076" w:rsidRDefault="0007662C" w:rsidP="006D1027">
            <w:pPr>
              <w:pStyle w:val="a0"/>
              <w:spacing w:after="0"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38007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上游：2</w:t>
            </w:r>
            <w:r w:rsidRPr="00380076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021</w:t>
            </w:r>
            <w:r w:rsidRPr="0038007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年中国境内豪华</w:t>
            </w:r>
            <w:r w:rsidR="0035294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品牌乘用</w:t>
            </w:r>
            <w:r w:rsidRPr="0038007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车供应市场</w:t>
            </w:r>
            <w:r w:rsidR="00C71F98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4D9D272" w14:textId="073BDFC6" w:rsidR="0007662C" w:rsidRDefault="00B7460A" w:rsidP="006D1027">
            <w:pPr>
              <w:pStyle w:val="a0"/>
              <w:spacing w:after="0"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鹏龙行</w:t>
            </w:r>
            <w:r w:rsidR="0007662C" w:rsidRPr="0038007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="00343EA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D74BC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  <w:r w:rsidR="00343EA3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10</w:t>
            </w:r>
            <w:r w:rsidR="00901D1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  <w:p w14:paraId="14C7B9D1" w14:textId="1D1F7ACE" w:rsidR="006D1027" w:rsidRDefault="006D1027" w:rsidP="006D1027">
            <w:pPr>
              <w:pStyle w:val="a0"/>
              <w:spacing w:after="0"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下游：</w:t>
            </w:r>
            <w:r w:rsidRPr="0038007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380076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021</w:t>
            </w:r>
            <w:r w:rsidRPr="0038007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2D606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驻马店市</w:t>
            </w:r>
            <w:r w:rsidRPr="0038007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豪华</w:t>
            </w:r>
            <w:r w:rsidR="0035294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品牌乘用</w:t>
            </w:r>
            <w:r w:rsidRPr="0038007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车</w:t>
            </w:r>
            <w:r w:rsidR="00DB22B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B22B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S</w:t>
            </w:r>
            <w:r w:rsidR="00DB22B9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店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销售</w:t>
            </w:r>
            <w:r w:rsidRPr="0038007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市场</w:t>
            </w:r>
          </w:p>
          <w:p w14:paraId="4A953955" w14:textId="1B20BBC7" w:rsidR="0016337D" w:rsidRDefault="00182CD4" w:rsidP="00D053A1">
            <w:pPr>
              <w:pStyle w:val="a0"/>
              <w:spacing w:after="0"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驻马店</w:t>
            </w:r>
            <w:r w:rsidR="006D10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鹏龙：</w:t>
            </w:r>
            <w:r w:rsidR="00070C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070C25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0</w:t>
            </w:r>
            <w:r w:rsidR="00070C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  <w:r w:rsidR="00070C25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25</w:t>
            </w:r>
            <w:r w:rsidR="00070C2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%</w:t>
            </w:r>
          </w:p>
        </w:tc>
      </w:tr>
    </w:tbl>
    <w:p w14:paraId="041E5F2E" w14:textId="77777777" w:rsidR="0016337D" w:rsidRPr="002E7882" w:rsidRDefault="0016337D"/>
    <w:sectPr w:rsidR="0016337D" w:rsidRPr="002E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0DB7" w14:textId="77777777" w:rsidR="00D23B48" w:rsidRDefault="00D23B48" w:rsidP="002E7882">
      <w:r>
        <w:separator/>
      </w:r>
    </w:p>
  </w:endnote>
  <w:endnote w:type="continuationSeparator" w:id="0">
    <w:p w14:paraId="50496A60" w14:textId="77777777" w:rsidR="00D23B48" w:rsidRDefault="00D23B48" w:rsidP="002E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5726" w14:textId="77777777" w:rsidR="00D23B48" w:rsidRDefault="00D23B48" w:rsidP="002E7882">
      <w:r>
        <w:separator/>
      </w:r>
    </w:p>
  </w:footnote>
  <w:footnote w:type="continuationSeparator" w:id="0">
    <w:p w14:paraId="641C6218" w14:textId="77777777" w:rsidR="00D23B48" w:rsidRDefault="00D23B48" w:rsidP="002E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DF"/>
    <w:rsid w:val="B97D91A0"/>
    <w:rsid w:val="BBD7FF27"/>
    <w:rsid w:val="BDC3CC9C"/>
    <w:rsid w:val="CDEDBA1C"/>
    <w:rsid w:val="DE7E2FCE"/>
    <w:rsid w:val="DF5F5894"/>
    <w:rsid w:val="DF777BF6"/>
    <w:rsid w:val="E7DEBB07"/>
    <w:rsid w:val="EFC6D171"/>
    <w:rsid w:val="EFF7E097"/>
    <w:rsid w:val="F77E2060"/>
    <w:rsid w:val="F7B95929"/>
    <w:rsid w:val="F7DAFF9E"/>
    <w:rsid w:val="F9FF91F1"/>
    <w:rsid w:val="FBBE9D1B"/>
    <w:rsid w:val="FF5B437D"/>
    <w:rsid w:val="FFBF8E37"/>
    <w:rsid w:val="FFDBCDEE"/>
    <w:rsid w:val="0002283B"/>
    <w:rsid w:val="0002743A"/>
    <w:rsid w:val="00037065"/>
    <w:rsid w:val="00050205"/>
    <w:rsid w:val="00070C25"/>
    <w:rsid w:val="0007662C"/>
    <w:rsid w:val="000971F1"/>
    <w:rsid w:val="000B0585"/>
    <w:rsid w:val="000B1670"/>
    <w:rsid w:val="000C36ED"/>
    <w:rsid w:val="000C5A2E"/>
    <w:rsid w:val="000D522A"/>
    <w:rsid w:val="000D7EBA"/>
    <w:rsid w:val="001164CD"/>
    <w:rsid w:val="00155717"/>
    <w:rsid w:val="0016337D"/>
    <w:rsid w:val="00182CD4"/>
    <w:rsid w:val="001837A3"/>
    <w:rsid w:val="001B0FDC"/>
    <w:rsid w:val="001B55B8"/>
    <w:rsid w:val="001B5F1F"/>
    <w:rsid w:val="001D19D2"/>
    <w:rsid w:val="002338AD"/>
    <w:rsid w:val="00247B25"/>
    <w:rsid w:val="00267562"/>
    <w:rsid w:val="002A1200"/>
    <w:rsid w:val="002D5728"/>
    <w:rsid w:val="002D606A"/>
    <w:rsid w:val="002E7882"/>
    <w:rsid w:val="0030657F"/>
    <w:rsid w:val="00343EA3"/>
    <w:rsid w:val="00344C7C"/>
    <w:rsid w:val="00352944"/>
    <w:rsid w:val="00396091"/>
    <w:rsid w:val="003A5438"/>
    <w:rsid w:val="003B02A8"/>
    <w:rsid w:val="003B2914"/>
    <w:rsid w:val="003C0AEB"/>
    <w:rsid w:val="003D3E93"/>
    <w:rsid w:val="003D4AE9"/>
    <w:rsid w:val="003D6FF9"/>
    <w:rsid w:val="00452435"/>
    <w:rsid w:val="00465D43"/>
    <w:rsid w:val="004660AF"/>
    <w:rsid w:val="004840F6"/>
    <w:rsid w:val="004970D7"/>
    <w:rsid w:val="004E37A4"/>
    <w:rsid w:val="004F7688"/>
    <w:rsid w:val="00524F5D"/>
    <w:rsid w:val="005345F6"/>
    <w:rsid w:val="00545691"/>
    <w:rsid w:val="0057720F"/>
    <w:rsid w:val="0059541B"/>
    <w:rsid w:val="005A08A6"/>
    <w:rsid w:val="005D0F62"/>
    <w:rsid w:val="006057B9"/>
    <w:rsid w:val="00605EF5"/>
    <w:rsid w:val="00606730"/>
    <w:rsid w:val="006075F8"/>
    <w:rsid w:val="00613C42"/>
    <w:rsid w:val="00627646"/>
    <w:rsid w:val="006467D8"/>
    <w:rsid w:val="006543F6"/>
    <w:rsid w:val="00696720"/>
    <w:rsid w:val="006A31A6"/>
    <w:rsid w:val="006A531B"/>
    <w:rsid w:val="006B414D"/>
    <w:rsid w:val="006B59B8"/>
    <w:rsid w:val="006B7B9E"/>
    <w:rsid w:val="006D1027"/>
    <w:rsid w:val="006E5F99"/>
    <w:rsid w:val="006F7693"/>
    <w:rsid w:val="00710140"/>
    <w:rsid w:val="0075621B"/>
    <w:rsid w:val="00756D5A"/>
    <w:rsid w:val="00763A7D"/>
    <w:rsid w:val="00771CE6"/>
    <w:rsid w:val="00785680"/>
    <w:rsid w:val="007A14D7"/>
    <w:rsid w:val="007D29F4"/>
    <w:rsid w:val="007F2275"/>
    <w:rsid w:val="007F6F06"/>
    <w:rsid w:val="0080288E"/>
    <w:rsid w:val="00820404"/>
    <w:rsid w:val="0086206D"/>
    <w:rsid w:val="008651B3"/>
    <w:rsid w:val="00874A27"/>
    <w:rsid w:val="008766E1"/>
    <w:rsid w:val="008A1427"/>
    <w:rsid w:val="008A7012"/>
    <w:rsid w:val="008B6F16"/>
    <w:rsid w:val="00901D14"/>
    <w:rsid w:val="00915F0F"/>
    <w:rsid w:val="009176A8"/>
    <w:rsid w:val="00917987"/>
    <w:rsid w:val="009524A1"/>
    <w:rsid w:val="009532DF"/>
    <w:rsid w:val="00956A4C"/>
    <w:rsid w:val="00981A1F"/>
    <w:rsid w:val="009849A5"/>
    <w:rsid w:val="00992F13"/>
    <w:rsid w:val="00997019"/>
    <w:rsid w:val="009A5029"/>
    <w:rsid w:val="009B0D04"/>
    <w:rsid w:val="009C5734"/>
    <w:rsid w:val="009D38D5"/>
    <w:rsid w:val="009E03A9"/>
    <w:rsid w:val="009F039B"/>
    <w:rsid w:val="00A20A9D"/>
    <w:rsid w:val="00A53F26"/>
    <w:rsid w:val="00A94D39"/>
    <w:rsid w:val="00AA0CC5"/>
    <w:rsid w:val="00AA4E46"/>
    <w:rsid w:val="00AB48F7"/>
    <w:rsid w:val="00B16AFE"/>
    <w:rsid w:val="00B45D94"/>
    <w:rsid w:val="00B53775"/>
    <w:rsid w:val="00B53F3A"/>
    <w:rsid w:val="00B565BF"/>
    <w:rsid w:val="00B65DD5"/>
    <w:rsid w:val="00B70B53"/>
    <w:rsid w:val="00B729FB"/>
    <w:rsid w:val="00B7460A"/>
    <w:rsid w:val="00B81057"/>
    <w:rsid w:val="00B83598"/>
    <w:rsid w:val="00B92C93"/>
    <w:rsid w:val="00BD10B6"/>
    <w:rsid w:val="00BD204F"/>
    <w:rsid w:val="00BD72D5"/>
    <w:rsid w:val="00C01D69"/>
    <w:rsid w:val="00C07076"/>
    <w:rsid w:val="00C4175F"/>
    <w:rsid w:val="00C71F98"/>
    <w:rsid w:val="00C84C92"/>
    <w:rsid w:val="00CB00DF"/>
    <w:rsid w:val="00CC1DA3"/>
    <w:rsid w:val="00CE04D8"/>
    <w:rsid w:val="00CF721F"/>
    <w:rsid w:val="00D053A1"/>
    <w:rsid w:val="00D15D48"/>
    <w:rsid w:val="00D23B48"/>
    <w:rsid w:val="00D3579B"/>
    <w:rsid w:val="00D36899"/>
    <w:rsid w:val="00D5045E"/>
    <w:rsid w:val="00D51617"/>
    <w:rsid w:val="00D70C00"/>
    <w:rsid w:val="00D73C72"/>
    <w:rsid w:val="00D74BCC"/>
    <w:rsid w:val="00D8644E"/>
    <w:rsid w:val="00DB22B9"/>
    <w:rsid w:val="00DB2FAF"/>
    <w:rsid w:val="00DC2ACC"/>
    <w:rsid w:val="00DD7B6E"/>
    <w:rsid w:val="00E0592B"/>
    <w:rsid w:val="00E140B3"/>
    <w:rsid w:val="00E173BF"/>
    <w:rsid w:val="00E25FE0"/>
    <w:rsid w:val="00E27E3E"/>
    <w:rsid w:val="00E31738"/>
    <w:rsid w:val="00E41D8D"/>
    <w:rsid w:val="00E85E1C"/>
    <w:rsid w:val="00E86786"/>
    <w:rsid w:val="00ED2F80"/>
    <w:rsid w:val="00F06384"/>
    <w:rsid w:val="00F1624E"/>
    <w:rsid w:val="00F225C8"/>
    <w:rsid w:val="00F32F8A"/>
    <w:rsid w:val="00F51204"/>
    <w:rsid w:val="00F810AA"/>
    <w:rsid w:val="00F861F1"/>
    <w:rsid w:val="00F960E7"/>
    <w:rsid w:val="00FA7619"/>
    <w:rsid w:val="00FB43EC"/>
    <w:rsid w:val="00FB4B87"/>
    <w:rsid w:val="00FB6B40"/>
    <w:rsid w:val="00FC3410"/>
    <w:rsid w:val="25BD2EAA"/>
    <w:rsid w:val="3DDE320D"/>
    <w:rsid w:val="3F4E9FD8"/>
    <w:rsid w:val="3FDFA4DA"/>
    <w:rsid w:val="47BF5305"/>
    <w:rsid w:val="4A265CBF"/>
    <w:rsid w:val="4F7EB90D"/>
    <w:rsid w:val="5DBAA300"/>
    <w:rsid w:val="5DDF953B"/>
    <w:rsid w:val="5FE73CCA"/>
    <w:rsid w:val="6DDE4FD6"/>
    <w:rsid w:val="6DEE1C09"/>
    <w:rsid w:val="6EF760C9"/>
    <w:rsid w:val="73DF6EA2"/>
    <w:rsid w:val="77B8891E"/>
    <w:rsid w:val="77DBAEED"/>
    <w:rsid w:val="77DF812F"/>
    <w:rsid w:val="793C0991"/>
    <w:rsid w:val="79B7D9A6"/>
    <w:rsid w:val="7EF1B516"/>
    <w:rsid w:val="7FBED5A3"/>
    <w:rsid w:val="7FDF49F3"/>
    <w:rsid w:val="7FE72150"/>
    <w:rsid w:val="7FFE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A8E9B"/>
  <w15:docId w15:val="{60CB8467-3B5D-48AA-A89B-202B7BBB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qFormat/>
    <w:rPr>
      <w:b/>
      <w:bCs/>
    </w:r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1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b">
    <w:name w:val="批注主题 字符"/>
    <w:basedOn w:val="a5"/>
    <w:link w:val="aa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E25FE0"/>
    <w:rPr>
      <w:rFonts w:ascii="Calibri" w:eastAsia="宋体" w:hAnsi="Calibri" w:cs="Times New Roman"/>
      <w:kern w:val="2"/>
      <w:sz w:val="21"/>
      <w:szCs w:val="22"/>
    </w:rPr>
  </w:style>
  <w:style w:type="paragraph" w:styleId="ae">
    <w:name w:val="macro"/>
    <w:link w:val="af"/>
    <w:rsid w:val="005954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宋体" w:hAnsi="Courier New" w:cs="Courier New"/>
      <w:lang w:val="en-GB" w:bidi="ar-AE"/>
    </w:rPr>
  </w:style>
  <w:style w:type="character" w:customStyle="1" w:styleId="af">
    <w:name w:val="宏文本 字符"/>
    <w:basedOn w:val="a1"/>
    <w:link w:val="ae"/>
    <w:rsid w:val="0059541B"/>
    <w:rPr>
      <w:rFonts w:ascii="Courier New" w:eastAsia="宋体" w:hAnsi="Courier New" w:cs="Courier New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陈媚</dc:creator>
  <cp:lastModifiedBy>宋 雪玲 中银律师事务所</cp:lastModifiedBy>
  <cp:revision>37</cp:revision>
  <dcterms:created xsi:type="dcterms:W3CDTF">2022-06-10T01:52:00Z</dcterms:created>
  <dcterms:modified xsi:type="dcterms:W3CDTF">2022-09-22T02:09:00Z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