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宋体"/>
          <w:color w:val="000000" w:themeColor="text1"/>
          <w:sz w:val="36"/>
          <w:szCs w:val="36"/>
          <w14:textFill>
            <w14:solidFill>
              <w14:schemeClr w14:val="tx1"/>
            </w14:solidFill>
          </w14:textFill>
        </w:rPr>
      </w:pPr>
      <w:bookmarkStart w:id="0" w:name="_Toc185867924"/>
      <w:r>
        <w:rPr>
          <w:rFonts w:hint="eastAsia" w:eastAsia="宋体"/>
          <w:color w:val="000000" w:themeColor="text1"/>
          <w:sz w:val="36"/>
          <w:szCs w:val="36"/>
          <w14:textFill>
            <w14:solidFill>
              <w14:schemeClr w14:val="tx1"/>
            </w14:solidFill>
          </w14:textFill>
        </w:rPr>
        <w:t>经营者集中简易案件公示表</w:t>
      </w:r>
      <w:bookmarkEnd w:id="0"/>
    </w:p>
    <w:tbl>
      <w:tblPr>
        <w:tblStyle w:val="44"/>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96"/>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案件名称</w:t>
            </w:r>
          </w:p>
        </w:tc>
        <w:tc>
          <w:tcPr>
            <w:tcW w:w="6949" w:type="dxa"/>
            <w:gridSpan w:val="2"/>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ascii="Times New Roman" w:hAnsi="Times New Roman" w:eastAsia="宋体"/>
                <w:color w:val="000000" w:themeColor="text1"/>
                <w:kern w:val="0"/>
                <w:sz w:val="21"/>
                <w14:textFill>
                  <w14:solidFill>
                    <w14:schemeClr w14:val="tx1"/>
                  </w14:solidFill>
                </w14:textFill>
                <w14:ligatures w14:val="none"/>
              </w:rPr>
              <w:t>殷拓基金管理有限公司收购天祥集团有限公司</w:t>
            </w:r>
            <w:r>
              <w:rPr>
                <w:rFonts w:hint="eastAsia" w:ascii="Times New Roman" w:hAnsi="Times New Roman" w:eastAsia="宋体"/>
                <w:color w:val="000000" w:themeColor="text1"/>
                <w:kern w:val="0"/>
                <w:sz w:val="21"/>
                <w14:textFill>
                  <w14:solidFill>
                    <w14:schemeClr w14:val="tx1"/>
                  </w14:solidFill>
                </w14:textFill>
                <w14:ligatures w14:val="none"/>
              </w:rPr>
              <w:t>股权案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809" w:type="dxa"/>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交易概况（限200字内）</w:t>
            </w:r>
          </w:p>
        </w:tc>
        <w:tc>
          <w:tcPr>
            <w:tcW w:w="6949" w:type="dxa"/>
            <w:gridSpan w:val="2"/>
          </w:tcPr>
          <w:p>
            <w:pPr>
              <w:widowControl/>
              <w:spacing w:after="0" w:line="240" w:lineRule="auto"/>
              <w:ind w:firstLine="420" w:firstLineChars="200"/>
              <w:jc w:val="both"/>
              <w:rPr>
                <w:rFonts w:ascii="Times New Roman" w:hAnsi="Times New Roman" w:eastAsia="宋体" w:cs="Times New Roman"/>
                <w:sz w:val="21"/>
                <w:szCs w:val="21"/>
              </w:rPr>
            </w:pPr>
            <w:r>
              <w:rPr>
                <w:rFonts w:ascii="Times New Roman" w:hAnsi="Times New Roman" w:eastAsia="宋体" w:cs="Times New Roman"/>
                <w:sz w:val="21"/>
                <w:szCs w:val="21"/>
              </w:rPr>
              <w:t>殷拓基金管理有限公司（“</w:t>
            </w:r>
            <w:r>
              <w:rPr>
                <w:rFonts w:ascii="Times New Roman" w:hAnsi="Times New Roman" w:eastAsia="宋体" w:cs="Times New Roman"/>
                <w:b/>
                <w:sz w:val="21"/>
                <w:szCs w:val="21"/>
              </w:rPr>
              <w:t>殷拓基金管理</w:t>
            </w:r>
            <w:r>
              <w:rPr>
                <w:rFonts w:ascii="Times New Roman" w:hAnsi="Times New Roman" w:eastAsia="宋体" w:cs="Times New Roman"/>
                <w:sz w:val="21"/>
                <w:szCs w:val="21"/>
              </w:rPr>
              <w:t>”）及其关联方通过Isotope Bidco Limited已公告作出要约的确定意图，收购天祥集团有限公司（“</w:t>
            </w:r>
            <w:r>
              <w:rPr>
                <w:rFonts w:ascii="Times New Roman" w:hAnsi="Times New Roman" w:eastAsia="宋体" w:cs="Times New Roman"/>
                <w:b/>
                <w:sz w:val="21"/>
                <w:szCs w:val="21"/>
              </w:rPr>
              <w:t>天祥集团</w:t>
            </w:r>
            <w:r>
              <w:rPr>
                <w:rFonts w:ascii="Times New Roman" w:hAnsi="Times New Roman" w:eastAsia="宋体" w:cs="Times New Roman"/>
                <w:sz w:val="21"/>
                <w:szCs w:val="21"/>
              </w:rPr>
              <w:t>”）已发行及拟发行普通股。阿布扎比投资局和穆巴达拉投资公司将作为少数股权共同投资者参与本次收购，分别间接收购Isotope Bidco Limited中不具有控制权的少数股权。殷拓基金管理及其关联方拟通过英国《2006年公司法》项下的协议安排方式取得对天祥集团的单独控制权（“</w:t>
            </w:r>
            <w:r>
              <w:rPr>
                <w:rFonts w:ascii="Times New Roman" w:hAnsi="Times New Roman" w:eastAsia="宋体" w:cs="Times New Roman"/>
                <w:b/>
                <w:bCs/>
                <w:sz w:val="21"/>
                <w:szCs w:val="21"/>
              </w:rPr>
              <w:t>本次收购</w:t>
            </w:r>
            <w:r>
              <w:rPr>
                <w:rFonts w:ascii="Times New Roman" w:hAnsi="Times New Roman" w:eastAsia="宋体" w:cs="Times New Roman"/>
                <w:sz w:val="21"/>
                <w:szCs w:val="21"/>
              </w:rPr>
              <w:t>”）。天祥集团提供保障、测试、检验和认证服务。</w:t>
            </w:r>
          </w:p>
          <w:p>
            <w:pPr>
              <w:widowControl/>
              <w:spacing w:after="0" w:line="240" w:lineRule="auto"/>
              <w:ind w:firstLine="420" w:firstLineChars="200"/>
              <w:jc w:val="both"/>
              <w:rPr>
                <w:rFonts w:ascii="Times New Roman" w:hAnsi="Times New Roman" w:eastAsia="宋体" w:cs="Times New Roman"/>
                <w:sz w:val="21"/>
                <w:szCs w:val="21"/>
              </w:rPr>
            </w:pPr>
            <w:r>
              <w:rPr>
                <w:rFonts w:ascii="Times New Roman" w:hAnsi="Times New Roman" w:eastAsia="宋体" w:cs="Times New Roman"/>
                <w:sz w:val="21"/>
                <w:szCs w:val="21"/>
              </w:rPr>
              <w:t>本次收购前，天祥集团为一家无最终控制人的上市公司。本次收购完成后，殷拓基金管理及其关联方将间接持有天祥集团76%的股份；阿布扎比投资局和穆巴达拉投资公司将分别间接持有天祥集团无控制权的16%和8%的股份。天祥集团将由殷拓基金管理及其关联方间接单独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09" w:type="dxa"/>
            <w:vMerge w:val="restart"/>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参与集中的经营者简介（每个限100字以内）</w:t>
            </w:r>
          </w:p>
        </w:tc>
        <w:tc>
          <w:tcPr>
            <w:tcW w:w="1796" w:type="dxa"/>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sz w:val="21"/>
              </w:rPr>
              <w:t>1、殷拓基金管理</w:t>
            </w:r>
          </w:p>
        </w:tc>
        <w:tc>
          <w:tcPr>
            <w:tcW w:w="5153" w:type="dxa"/>
          </w:tcPr>
          <w:p>
            <w:pPr>
              <w:widowControl/>
              <w:spacing w:after="0" w:line="240" w:lineRule="auto"/>
              <w:ind w:firstLine="420" w:firstLineChars="200"/>
              <w:jc w:val="both"/>
              <w:rPr>
                <w:rFonts w:ascii="Times New Roman" w:hAnsi="Times New Roman" w:eastAsia="宋体" w:cs="Times New Roman"/>
                <w:sz w:val="21"/>
                <w:szCs w:val="21"/>
              </w:rPr>
            </w:pPr>
            <w:r>
              <w:rPr>
                <w:rFonts w:hint="eastAsia" w:ascii="Times New Roman" w:hAnsi="Times New Roman" w:eastAsia="宋体" w:cs="Times New Roman"/>
                <w:sz w:val="21"/>
                <w:szCs w:val="21"/>
              </w:rPr>
              <w:t>殷拓基金管理于</w:t>
            </w:r>
            <w:r>
              <w:rPr>
                <w:rFonts w:ascii="Times New Roman" w:hAnsi="Times New Roman" w:eastAsia="宋体" w:cs="Times New Roman"/>
                <w:sz w:val="21"/>
                <w:szCs w:val="21"/>
              </w:rPr>
              <w:t>2012年3月29日在卢森堡大公国成立，</w:t>
            </w:r>
            <w:r>
              <w:rPr>
                <w:rFonts w:hint="eastAsia" w:ascii="Times New Roman" w:hAnsi="Times New Roman" w:eastAsia="宋体" w:cs="Times New Roman"/>
                <w:sz w:val="21"/>
                <w:szCs w:val="21"/>
              </w:rPr>
              <w:t>主要从事另类投资基金管理业务。</w:t>
            </w:r>
          </w:p>
          <w:p>
            <w:pPr>
              <w:widowControl/>
              <w:spacing w:after="0" w:line="240" w:lineRule="auto"/>
              <w:ind w:firstLine="420" w:firstLineChars="200"/>
              <w:jc w:val="both"/>
              <w:rPr>
                <w:rFonts w:ascii="Times New Roman" w:hAnsi="Times New Roman" w:eastAsia="宋体" w:cs="Times New Roman"/>
                <w:sz w:val="21"/>
                <w:szCs w:val="21"/>
              </w:rPr>
            </w:pPr>
            <w:r>
              <w:rPr>
                <w:rFonts w:hint="eastAsia" w:ascii="Times New Roman" w:hAnsi="Times New Roman" w:eastAsia="宋体" w:cs="Times New Roman"/>
                <w:sz w:val="21"/>
                <w:szCs w:val="21"/>
              </w:rPr>
              <w:t>殷拓基金管理由殷拓集团全资持有。殷拓集团在瑞典注册成立。</w:t>
            </w:r>
            <w:r>
              <w:rPr>
                <w:rFonts w:hint="eastAsia" w:ascii="Calibri" w:hAnsi="Calibri" w:eastAsia="宋体"/>
                <w:sz w:val="21"/>
                <w:szCs w:val="21"/>
              </w:rPr>
              <w:t>殷拓集团通过四个业务部门开展私募投资活动：私募资本、基础设施、房地产和私募二级市场。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1796" w:type="dxa"/>
          </w:tcPr>
          <w:p>
            <w:pPr>
              <w:numPr>
                <w:ilvl w:val="0"/>
                <w:numId w:val="1"/>
              </w:num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ascii="Times New Roman" w:hAnsi="Times New Roman" w:eastAsia="宋体" w:cs="Times New Roman"/>
                <w:sz w:val="21"/>
              </w:rPr>
              <w:t>天祥集团</w:t>
            </w:r>
          </w:p>
        </w:tc>
        <w:tc>
          <w:tcPr>
            <w:tcW w:w="5153" w:type="dxa"/>
          </w:tcPr>
          <w:p>
            <w:pPr>
              <w:widowControl/>
              <w:spacing w:after="0" w:line="240" w:lineRule="auto"/>
              <w:ind w:firstLine="420" w:firstLineChars="200"/>
              <w:jc w:val="both"/>
              <w:rPr>
                <w:rFonts w:ascii="Times New Roman" w:hAnsi="Times New Roman" w:eastAsia="宋体" w:cs="Times New Roman"/>
                <w:sz w:val="24"/>
              </w:rPr>
            </w:pPr>
            <w:r>
              <w:rPr>
                <w:rFonts w:ascii="Times New Roman" w:hAnsi="Times New Roman" w:eastAsia="宋体" w:cs="Times New Roman"/>
                <w:sz w:val="21"/>
              </w:rPr>
              <w:t>天祥集团于2001年8月9日在英国注册成立，并于2002年在伦敦证券交易所主板市场上市。天祥集团提供保障、测试、检验和认证服务。</w:t>
            </w:r>
          </w:p>
          <w:p>
            <w:pPr>
              <w:widowControl/>
              <w:spacing w:after="0" w:line="240" w:lineRule="auto"/>
              <w:ind w:firstLine="420" w:firstLineChars="200"/>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ascii="Times New Roman" w:hAnsi="Times New Roman" w:eastAsia="宋体" w:cs="Times New Roman"/>
                <w:sz w:val="21"/>
              </w:rPr>
              <w:t>天祥集团无最终控制人。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809" w:type="dxa"/>
            <w:vMerge w:val="restart"/>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简易案件理由（可多选）</w:t>
            </w:r>
          </w:p>
        </w:tc>
        <w:tc>
          <w:tcPr>
            <w:tcW w:w="6949" w:type="dxa"/>
            <w:gridSpan w:val="2"/>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ascii="Times New Roman" w:hAnsi="Times New Roman" w:eastAsia="宋体"/>
                <w:sz w:val="21"/>
              </w:rPr>
              <w:sym w:font="Wingdings" w:char="F0FE"/>
            </w:r>
            <w:r>
              <w:rPr>
                <w:rFonts w:hint="eastAsia" w:ascii="Times New Roman" w:hAnsi="Times New Roman" w:eastAsia="宋体" w:cs="Times New Roman"/>
                <w:color w:val="000000" w:themeColor="text1"/>
                <w:kern w:val="0"/>
                <w:sz w:val="21"/>
                <w14:textFill>
                  <w14:solidFill>
                    <w14:schemeClr w14:val="tx1"/>
                  </w14:solidFill>
                </w14:textFill>
                <w14:ligatures w14:val="none"/>
              </w:rPr>
              <w:t>1、在同一相关市场，所有参与集中的经营者所占市场份额之和小于15%。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6949" w:type="dxa"/>
            <w:gridSpan w:val="2"/>
          </w:tcPr>
          <w:p>
            <w:pPr>
              <w:spacing w:after="0" w:line="240" w:lineRule="auto"/>
              <w:jc w:val="both"/>
              <w:rPr>
                <w:rFonts w:ascii="Times New Roman" w:hAnsi="Times New Roman" w:eastAsia="宋体" w:cs="Times New Roman"/>
                <w:color w:val="000000" w:themeColor="text1"/>
                <w:kern w:val="0"/>
                <w:sz w:val="21"/>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□2、存在上下游关系的参与集中的经营者，在上下游市场所占的市场份额均小于25%。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6949" w:type="dxa"/>
            <w:gridSpan w:val="2"/>
          </w:tcPr>
          <w:p>
            <w:pPr>
              <w:spacing w:after="0" w:line="240" w:lineRule="auto"/>
              <w:jc w:val="both"/>
              <w:rPr>
                <w:rFonts w:ascii="Times New Roman" w:hAnsi="Times New Roman" w:eastAsia="宋体" w:cs="Times New Roman"/>
                <w:color w:val="000000" w:themeColor="text1"/>
                <w:kern w:val="0"/>
                <w:sz w:val="21"/>
                <w14:textFill>
                  <w14:solidFill>
                    <w14:schemeClr w14:val="tx1"/>
                  </w14:solidFill>
                </w14:textFill>
                <w14:ligatures w14:val="none"/>
              </w:rPr>
            </w:pPr>
            <w:r>
              <w:rPr>
                <w:rFonts w:ascii="Times New Roman" w:hAnsi="Times New Roman" w:eastAsia="宋体"/>
                <w:sz w:val="21"/>
              </w:rPr>
              <w:sym w:font="Wingdings" w:char="F0FE"/>
            </w:r>
            <w:r>
              <w:rPr>
                <w:rFonts w:hint="eastAsia" w:ascii="Times New Roman" w:hAnsi="Times New Roman" w:eastAsia="宋体" w:cs="Times New Roman"/>
                <w:color w:val="000000" w:themeColor="text1"/>
                <w:kern w:val="0"/>
                <w:sz w:val="21"/>
                <w14:textFill>
                  <w14:solidFill>
                    <w14:schemeClr w14:val="tx1"/>
                  </w14:solidFill>
                </w14:textFill>
                <w14:ligatures w14:val="none"/>
              </w:rPr>
              <w:t>3、不在同一相关市场、也不存在上下游关系的参与集中的经营者，在与交易有关的每个市场所占的份额均小于25%。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6949" w:type="dxa"/>
            <w:gridSpan w:val="2"/>
          </w:tcPr>
          <w:p>
            <w:pPr>
              <w:spacing w:after="0" w:line="240" w:lineRule="auto"/>
              <w:jc w:val="both"/>
              <w:rPr>
                <w:rFonts w:ascii="Times New Roman" w:hAnsi="Times New Roman" w:eastAsia="宋体" w:cs="Times New Roman"/>
                <w:color w:val="000000" w:themeColor="text1"/>
                <w:kern w:val="0"/>
                <w:sz w:val="21"/>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□4、参与集中的经营者在中国境外设立合营企业，合营企业不在中国境内从事经济活动。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6949" w:type="dxa"/>
            <w:gridSpan w:val="2"/>
          </w:tcPr>
          <w:p>
            <w:pPr>
              <w:spacing w:after="0" w:line="240" w:lineRule="auto"/>
              <w:jc w:val="both"/>
              <w:rPr>
                <w:rFonts w:ascii="Times New Roman" w:hAnsi="Times New Roman" w:eastAsia="宋体" w:cs="Times New Roman"/>
                <w:color w:val="000000" w:themeColor="text1"/>
                <w:kern w:val="0"/>
                <w:sz w:val="21"/>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□5、参与集中的经营者收购境外企业股权或资产的，该境外企业不在中国境内从事经济活动。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809" w:type="dxa"/>
            <w:vMerge w:val="continue"/>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p>
        </w:tc>
        <w:tc>
          <w:tcPr>
            <w:tcW w:w="6949" w:type="dxa"/>
            <w:gridSpan w:val="2"/>
          </w:tcPr>
          <w:p>
            <w:pPr>
              <w:spacing w:after="0" w:line="240" w:lineRule="auto"/>
              <w:jc w:val="both"/>
              <w:rPr>
                <w:rFonts w:ascii="Times New Roman" w:hAnsi="Times New Roman" w:eastAsia="宋体" w:cs="Times New Roman"/>
                <w:color w:val="000000" w:themeColor="text1"/>
                <w:kern w:val="0"/>
                <w:sz w:val="21"/>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□6、由两个以上的经营者共同控制的合营企业，通过集中被其中一个或一个以上经营者控制。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9" w:type="dxa"/>
            <w:shd w:val="clear" w:color="auto" w:fill="D9D9D9"/>
          </w:tcPr>
          <w:p>
            <w:pPr>
              <w:spacing w:after="0" w:line="240" w:lineRule="auto"/>
              <w:jc w:val="both"/>
              <w:rPr>
                <w:rFonts w:ascii="Times New Roman" w:hAnsi="Times New Roman" w:eastAsia="宋体" w:cs="Times New Roman"/>
                <w:color w:val="000000" w:themeColor="text1"/>
                <w:kern w:val="0"/>
                <w:sz w:val="24"/>
                <w14:textFill>
                  <w14:solidFill>
                    <w14:schemeClr w14:val="tx1"/>
                  </w14:solidFill>
                </w14:textFill>
                <w14:ligatures w14:val="none"/>
              </w:rPr>
            </w:pPr>
            <w:r>
              <w:rPr>
                <w:rFonts w:hint="eastAsia" w:ascii="Times New Roman" w:hAnsi="Times New Roman" w:eastAsia="宋体" w:cs="Times New Roman"/>
                <w:color w:val="000000" w:themeColor="text1"/>
                <w:kern w:val="0"/>
                <w:sz w:val="21"/>
                <w14:textFill>
                  <w14:solidFill>
                    <w14:schemeClr w14:val="tx1"/>
                  </w14:solidFill>
                </w14:textFill>
                <w14:ligatures w14:val="none"/>
              </w:rPr>
              <w:t>备注</w:t>
            </w:r>
          </w:p>
        </w:tc>
        <w:tc>
          <w:tcPr>
            <w:tcW w:w="6949" w:type="dxa"/>
            <w:gridSpan w:val="2"/>
          </w:tcPr>
          <w:p>
            <w:pPr>
              <w:widowControl/>
              <w:spacing w:after="0" w:line="240" w:lineRule="auto"/>
              <w:jc w:val="both"/>
              <w:rPr>
                <w:rFonts w:ascii="Times New Roman" w:hAnsi="Times New Roman" w:eastAsia="宋体" w:cs="Times New Roman"/>
                <w:b/>
                <w:bCs/>
                <w:sz w:val="21"/>
              </w:rPr>
            </w:pPr>
            <w:r>
              <w:rPr>
                <w:rFonts w:ascii="Times New Roman" w:hAnsi="Times New Roman" w:eastAsia="宋体" w:cs="Times New Roman"/>
                <w:b/>
                <w:bCs/>
                <w:sz w:val="21"/>
              </w:rPr>
              <w:t>横向重叠：</w:t>
            </w:r>
          </w:p>
          <w:p>
            <w:pPr>
              <w:widowControl/>
              <w:spacing w:after="0" w:line="240" w:lineRule="auto"/>
              <w:jc w:val="both"/>
              <w:rPr>
                <w:rFonts w:ascii="Times New Roman" w:hAnsi="Times New Roman" w:eastAsia="宋体" w:cs="Times New Roman"/>
                <w:sz w:val="21"/>
              </w:rPr>
            </w:pPr>
            <w:r>
              <w:rPr>
                <w:rFonts w:ascii="Times New Roman" w:hAnsi="Times New Roman" w:eastAsia="宋体" w:cs="Times New Roman"/>
                <w:sz w:val="21"/>
              </w:rPr>
              <w:t>2025年中国境内测试</w:t>
            </w:r>
            <w:r>
              <w:rPr>
                <w:rFonts w:hint="eastAsia" w:ascii="Times New Roman" w:hAnsi="Times New Roman" w:eastAsia="宋体" w:cs="Times New Roman"/>
                <w:sz w:val="21"/>
              </w:rPr>
              <w:t>、</w:t>
            </w:r>
            <w:r>
              <w:rPr>
                <w:rFonts w:ascii="Times New Roman" w:hAnsi="Times New Roman" w:eastAsia="宋体" w:cs="Times New Roman"/>
                <w:sz w:val="21"/>
              </w:rPr>
              <w:t>检验服务市场</w:t>
            </w:r>
          </w:p>
          <w:p>
            <w:pPr>
              <w:widowControl/>
              <w:spacing w:after="0" w:line="240" w:lineRule="auto"/>
              <w:jc w:val="both"/>
              <w:rPr>
                <w:rFonts w:ascii="Times New Roman" w:hAnsi="Times New Roman" w:eastAsia="宋体" w:cs="Times New Roman"/>
                <w:sz w:val="21"/>
              </w:rPr>
            </w:pPr>
            <w:r>
              <w:rPr>
                <w:rFonts w:ascii="Times New Roman" w:hAnsi="Times New Roman" w:eastAsia="宋体" w:cs="Times New Roman"/>
                <w:sz w:val="21"/>
              </w:rPr>
              <w:t>天祥集团：[</w:t>
            </w:r>
            <w:r>
              <w:rPr>
                <w:rFonts w:hint="eastAsia" w:ascii="Times New Roman" w:hAnsi="Times New Roman" w:eastAsia="宋体" w:cs="Times New Roman"/>
                <w:sz w:val="21"/>
              </w:rPr>
              <w:t>0-5</w:t>
            </w:r>
            <w:r>
              <w:rPr>
                <w:rFonts w:ascii="Times New Roman" w:hAnsi="Times New Roman" w:eastAsia="宋体" w:cs="Times New Roman"/>
                <w:sz w:val="21"/>
              </w:rPr>
              <w:t>]%</w:t>
            </w:r>
          </w:p>
          <w:p>
            <w:pPr>
              <w:widowControl/>
              <w:spacing w:after="0" w:line="240" w:lineRule="auto"/>
              <w:jc w:val="both"/>
              <w:rPr>
                <w:rFonts w:ascii="Times New Roman" w:hAnsi="Times New Roman" w:eastAsia="宋体" w:cs="Times New Roman"/>
                <w:sz w:val="21"/>
              </w:rPr>
            </w:pPr>
            <w:r>
              <w:rPr>
                <w:rFonts w:ascii="Times New Roman" w:hAnsi="Times New Roman" w:eastAsia="宋体" w:cs="Times New Roman"/>
                <w:sz w:val="21"/>
              </w:rPr>
              <w:t>殷拓基金</w:t>
            </w:r>
            <w:r>
              <w:rPr>
                <w:rFonts w:hint="eastAsia" w:ascii="Times New Roman" w:hAnsi="Times New Roman" w:eastAsia="宋体" w:cs="Times New Roman"/>
                <w:sz w:val="21"/>
              </w:rPr>
              <w:t>管理</w:t>
            </w:r>
            <w:r>
              <w:rPr>
                <w:rFonts w:ascii="Times New Roman" w:hAnsi="Times New Roman" w:eastAsia="宋体" w:cs="Times New Roman"/>
                <w:sz w:val="21"/>
              </w:rPr>
              <w:t>：[0-5]%</w:t>
            </w:r>
          </w:p>
          <w:p>
            <w:pPr>
              <w:widowControl/>
              <w:spacing w:after="0" w:line="240" w:lineRule="auto"/>
              <w:jc w:val="both"/>
              <w:rPr>
                <w:rFonts w:ascii="Times New Roman" w:hAnsi="Times New Roman" w:eastAsia="宋体" w:cs="Times New Roman"/>
                <w:sz w:val="21"/>
              </w:rPr>
            </w:pPr>
            <w:r>
              <w:rPr>
                <w:rFonts w:ascii="Times New Roman" w:hAnsi="Times New Roman" w:eastAsia="宋体" w:cs="Times New Roman"/>
                <w:sz w:val="21"/>
              </w:rPr>
              <w:t>合计：[</w:t>
            </w:r>
            <w:r>
              <w:rPr>
                <w:rFonts w:hint="eastAsia" w:ascii="Times New Roman" w:hAnsi="Times New Roman" w:eastAsia="宋体" w:cs="Times New Roman"/>
                <w:sz w:val="21"/>
              </w:rPr>
              <w:t>0-5</w:t>
            </w:r>
            <w:r>
              <w:rPr>
                <w:rFonts w:ascii="Times New Roman" w:hAnsi="Times New Roman" w:eastAsia="宋体" w:cs="Times New Roman"/>
                <w:sz w:val="21"/>
              </w:rPr>
              <w:t>]%</w:t>
            </w:r>
          </w:p>
          <w:p>
            <w:pPr>
              <w:widowControl/>
              <w:spacing w:after="0" w:line="240" w:lineRule="auto"/>
              <w:jc w:val="both"/>
              <w:rPr>
                <w:rFonts w:ascii="Times New Roman" w:hAnsi="Times New Roman" w:eastAsia="宋体" w:cs="Times New Roman"/>
                <w:b/>
                <w:bCs/>
                <w:sz w:val="21"/>
              </w:rPr>
            </w:pPr>
            <w:bookmarkStart w:id="1" w:name="_GoBack"/>
            <w:bookmarkEnd w:id="1"/>
            <w:r>
              <w:rPr>
                <w:rFonts w:hint="eastAsia" w:ascii="Times New Roman" w:hAnsi="Times New Roman" w:eastAsia="宋体" w:cs="Times New Roman"/>
                <w:b/>
                <w:bCs/>
                <w:sz w:val="21"/>
              </w:rPr>
              <w:t>其他：</w:t>
            </w:r>
          </w:p>
          <w:p>
            <w:pPr>
              <w:adjustRightInd w:val="0"/>
              <w:snapToGrid w:val="0"/>
              <w:spacing w:after="0" w:line="240" w:lineRule="auto"/>
              <w:rPr>
                <w:rFonts w:ascii="Times New Roman" w:hAnsi="Times New Roman" w:eastAsia="宋体" w:cs="Times New Roman"/>
                <w:sz w:val="21"/>
              </w:rPr>
            </w:pPr>
            <w:r>
              <w:rPr>
                <w:rFonts w:ascii="Times New Roman" w:hAnsi="Times New Roman" w:eastAsia="宋体" w:cs="Times New Roman"/>
                <w:sz w:val="21"/>
              </w:rPr>
              <w:t>2025年中国境内认证服务市场</w:t>
            </w:r>
          </w:p>
          <w:p>
            <w:pPr>
              <w:adjustRightInd w:val="0"/>
              <w:snapToGrid w:val="0"/>
              <w:spacing w:after="0" w:line="240" w:lineRule="auto"/>
              <w:rPr>
                <w:rFonts w:ascii="Times New Roman" w:hAnsi="Times New Roman" w:eastAsia="宋体" w:cs="Times New Roman"/>
                <w:sz w:val="24"/>
              </w:rPr>
            </w:pPr>
            <w:r>
              <w:rPr>
                <w:rFonts w:ascii="Times New Roman" w:hAnsi="Times New Roman" w:eastAsia="宋体" w:cs="Times New Roman"/>
                <w:sz w:val="21"/>
              </w:rPr>
              <w:t>天祥集团：[</w:t>
            </w:r>
            <w:r>
              <w:rPr>
                <w:rFonts w:hint="eastAsia" w:ascii="Times New Roman" w:hAnsi="Times New Roman" w:eastAsia="宋体" w:cs="Times New Roman"/>
                <w:sz w:val="21"/>
              </w:rPr>
              <w:t>0-5</w:t>
            </w:r>
            <w:r>
              <w:rPr>
                <w:rFonts w:ascii="Times New Roman" w:hAnsi="Times New Roman" w:eastAsia="宋体" w:cs="Times New Roman"/>
                <w:sz w:val="21"/>
              </w:rPr>
              <w:t>]%</w:t>
            </w:r>
          </w:p>
        </w:tc>
      </w:tr>
    </w:tbl>
    <w:p>
      <w:pPr>
        <w:widowControl/>
        <w:snapToGrid w:val="0"/>
        <w:spacing w:before="156" w:beforeLines="50" w:after="0" w:line="240" w:lineRule="exact"/>
        <w:rPr>
          <w:rFonts w:eastAsia="宋体" w:cs="Times New Roman"/>
          <w:color w:val="000000" w:themeColor="text1"/>
          <w:kern w:val="0"/>
          <w:sz w:val="24"/>
          <w14:textFill>
            <w14:solidFill>
              <w14:schemeClr w14:val="tx1"/>
            </w14:solidFill>
          </w14:textFill>
          <w14:ligatures w14: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汉仪中宋简"/>
    <w:panose1 w:val="02010600030101010101"/>
    <w:charset w:val="86"/>
    <w:family w:val="auto"/>
    <w:pitch w:val="default"/>
    <w:sig w:usb0="00000000" w:usb1="00000000" w:usb2="00000016" w:usb3="00000000" w:csb0="0004000F" w:csb1="00000000"/>
  </w:font>
  <w:font w:name="等线">
    <w:altName w:val="汉仪中宋简"/>
    <w:panose1 w:val="02010600030101010101"/>
    <w:charset w:val="86"/>
    <w:family w:val="auto"/>
    <w:pitch w:val="default"/>
    <w:sig w:usb0="00000000" w:usb1="00000000"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0527A7"/>
    <w:multiLevelType w:val="singleLevel"/>
    <w:tmpl w:val="620527A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1E"/>
    <w:rsid w:val="0000432B"/>
    <w:rsid w:val="0001520C"/>
    <w:rsid w:val="00020500"/>
    <w:rsid w:val="00020837"/>
    <w:rsid w:val="00021D39"/>
    <w:rsid w:val="000228DC"/>
    <w:rsid w:val="00024B11"/>
    <w:rsid w:val="000406DF"/>
    <w:rsid w:val="0004216B"/>
    <w:rsid w:val="0005292E"/>
    <w:rsid w:val="00062E7F"/>
    <w:rsid w:val="00064586"/>
    <w:rsid w:val="000659E5"/>
    <w:rsid w:val="00080F8C"/>
    <w:rsid w:val="00081359"/>
    <w:rsid w:val="00084AE5"/>
    <w:rsid w:val="00091F8A"/>
    <w:rsid w:val="000A4504"/>
    <w:rsid w:val="000B2B15"/>
    <w:rsid w:val="000B329F"/>
    <w:rsid w:val="000C237D"/>
    <w:rsid w:val="000D6A75"/>
    <w:rsid w:val="000E1AFB"/>
    <w:rsid w:val="000E3999"/>
    <w:rsid w:val="000E674B"/>
    <w:rsid w:val="000F4702"/>
    <w:rsid w:val="00100703"/>
    <w:rsid w:val="001057E5"/>
    <w:rsid w:val="00130912"/>
    <w:rsid w:val="001336BD"/>
    <w:rsid w:val="00137741"/>
    <w:rsid w:val="001401C6"/>
    <w:rsid w:val="00140217"/>
    <w:rsid w:val="0014426F"/>
    <w:rsid w:val="00144490"/>
    <w:rsid w:val="0014636B"/>
    <w:rsid w:val="00152614"/>
    <w:rsid w:val="001537B0"/>
    <w:rsid w:val="00154312"/>
    <w:rsid w:val="00166EC8"/>
    <w:rsid w:val="00166EE6"/>
    <w:rsid w:val="00184BA0"/>
    <w:rsid w:val="001A2BB1"/>
    <w:rsid w:val="001A40F7"/>
    <w:rsid w:val="001B37FA"/>
    <w:rsid w:val="001B38DF"/>
    <w:rsid w:val="001B3E88"/>
    <w:rsid w:val="001C07C5"/>
    <w:rsid w:val="001C66E5"/>
    <w:rsid w:val="001D0104"/>
    <w:rsid w:val="001D4B9D"/>
    <w:rsid w:val="001D4E33"/>
    <w:rsid w:val="001D7BC1"/>
    <w:rsid w:val="001E1C67"/>
    <w:rsid w:val="002018ED"/>
    <w:rsid w:val="00201BFB"/>
    <w:rsid w:val="002104A0"/>
    <w:rsid w:val="0021165B"/>
    <w:rsid w:val="0021675F"/>
    <w:rsid w:val="00217F76"/>
    <w:rsid w:val="002235AB"/>
    <w:rsid w:val="00245552"/>
    <w:rsid w:val="00247929"/>
    <w:rsid w:val="002509F5"/>
    <w:rsid w:val="002567F3"/>
    <w:rsid w:val="00262F5A"/>
    <w:rsid w:val="002732B6"/>
    <w:rsid w:val="00273D0A"/>
    <w:rsid w:val="00275B78"/>
    <w:rsid w:val="00275C47"/>
    <w:rsid w:val="0028373D"/>
    <w:rsid w:val="00284C2E"/>
    <w:rsid w:val="0028598E"/>
    <w:rsid w:val="00287BA6"/>
    <w:rsid w:val="00287D3C"/>
    <w:rsid w:val="00295430"/>
    <w:rsid w:val="002A11A5"/>
    <w:rsid w:val="002B209A"/>
    <w:rsid w:val="002B41EF"/>
    <w:rsid w:val="002D742B"/>
    <w:rsid w:val="002E065D"/>
    <w:rsid w:val="002E568E"/>
    <w:rsid w:val="002F0780"/>
    <w:rsid w:val="002F21FA"/>
    <w:rsid w:val="002F3D4C"/>
    <w:rsid w:val="002F4A9A"/>
    <w:rsid w:val="002F7E6F"/>
    <w:rsid w:val="00313B76"/>
    <w:rsid w:val="00314DA6"/>
    <w:rsid w:val="003226B1"/>
    <w:rsid w:val="00325633"/>
    <w:rsid w:val="00333C7E"/>
    <w:rsid w:val="003378F5"/>
    <w:rsid w:val="003511DC"/>
    <w:rsid w:val="003524C0"/>
    <w:rsid w:val="0035300F"/>
    <w:rsid w:val="00353FB5"/>
    <w:rsid w:val="00385049"/>
    <w:rsid w:val="00391544"/>
    <w:rsid w:val="0039268A"/>
    <w:rsid w:val="003933CE"/>
    <w:rsid w:val="00394FBB"/>
    <w:rsid w:val="003A6722"/>
    <w:rsid w:val="003B2B5E"/>
    <w:rsid w:val="003C6742"/>
    <w:rsid w:val="003C7F22"/>
    <w:rsid w:val="003D0F6E"/>
    <w:rsid w:val="003D4F2E"/>
    <w:rsid w:val="003E5433"/>
    <w:rsid w:val="003E738D"/>
    <w:rsid w:val="003F1DC6"/>
    <w:rsid w:val="003F4660"/>
    <w:rsid w:val="00401858"/>
    <w:rsid w:val="00402982"/>
    <w:rsid w:val="00405BB9"/>
    <w:rsid w:val="004102FC"/>
    <w:rsid w:val="004124D4"/>
    <w:rsid w:val="004126A5"/>
    <w:rsid w:val="00415A8E"/>
    <w:rsid w:val="00417682"/>
    <w:rsid w:val="0042268B"/>
    <w:rsid w:val="00425A04"/>
    <w:rsid w:val="00431675"/>
    <w:rsid w:val="004340EF"/>
    <w:rsid w:val="0043514E"/>
    <w:rsid w:val="004440BB"/>
    <w:rsid w:val="00450A42"/>
    <w:rsid w:val="00451085"/>
    <w:rsid w:val="00452776"/>
    <w:rsid w:val="004529D9"/>
    <w:rsid w:val="004533BB"/>
    <w:rsid w:val="00455003"/>
    <w:rsid w:val="00461891"/>
    <w:rsid w:val="004637FA"/>
    <w:rsid w:val="00466538"/>
    <w:rsid w:val="0047021E"/>
    <w:rsid w:val="00474278"/>
    <w:rsid w:val="004A0582"/>
    <w:rsid w:val="004A29A6"/>
    <w:rsid w:val="004A7870"/>
    <w:rsid w:val="004B630F"/>
    <w:rsid w:val="004B6FA4"/>
    <w:rsid w:val="004C5B91"/>
    <w:rsid w:val="004C5FE4"/>
    <w:rsid w:val="004C61D0"/>
    <w:rsid w:val="004C741D"/>
    <w:rsid w:val="004D06ED"/>
    <w:rsid w:val="004D6220"/>
    <w:rsid w:val="004E2D1E"/>
    <w:rsid w:val="004E33AB"/>
    <w:rsid w:val="004E625D"/>
    <w:rsid w:val="004F25D9"/>
    <w:rsid w:val="004F469B"/>
    <w:rsid w:val="00511B9B"/>
    <w:rsid w:val="00527B7E"/>
    <w:rsid w:val="00527D24"/>
    <w:rsid w:val="0053668B"/>
    <w:rsid w:val="00537A70"/>
    <w:rsid w:val="00540D4F"/>
    <w:rsid w:val="00542E46"/>
    <w:rsid w:val="00543569"/>
    <w:rsid w:val="00543979"/>
    <w:rsid w:val="00546E9F"/>
    <w:rsid w:val="0055105E"/>
    <w:rsid w:val="0055380B"/>
    <w:rsid w:val="0055447B"/>
    <w:rsid w:val="00555877"/>
    <w:rsid w:val="005600F6"/>
    <w:rsid w:val="00563450"/>
    <w:rsid w:val="005661A8"/>
    <w:rsid w:val="00571F8E"/>
    <w:rsid w:val="0057622A"/>
    <w:rsid w:val="005762EE"/>
    <w:rsid w:val="005857C6"/>
    <w:rsid w:val="005B7668"/>
    <w:rsid w:val="005C43CD"/>
    <w:rsid w:val="005E32D9"/>
    <w:rsid w:val="005F747D"/>
    <w:rsid w:val="00602765"/>
    <w:rsid w:val="00602AD8"/>
    <w:rsid w:val="006036AB"/>
    <w:rsid w:val="00605E85"/>
    <w:rsid w:val="00607D4F"/>
    <w:rsid w:val="00610F9F"/>
    <w:rsid w:val="00614F64"/>
    <w:rsid w:val="00617015"/>
    <w:rsid w:val="0062085D"/>
    <w:rsid w:val="006221BF"/>
    <w:rsid w:val="00634940"/>
    <w:rsid w:val="006351E6"/>
    <w:rsid w:val="00643353"/>
    <w:rsid w:val="00650802"/>
    <w:rsid w:val="00655720"/>
    <w:rsid w:val="00656292"/>
    <w:rsid w:val="00664C12"/>
    <w:rsid w:val="00667CA8"/>
    <w:rsid w:val="006772BA"/>
    <w:rsid w:val="006A168F"/>
    <w:rsid w:val="006A174B"/>
    <w:rsid w:val="006B7652"/>
    <w:rsid w:val="006C00B8"/>
    <w:rsid w:val="006C2DA5"/>
    <w:rsid w:val="006C5EB6"/>
    <w:rsid w:val="006C69F3"/>
    <w:rsid w:val="006C72E1"/>
    <w:rsid w:val="006D1FDC"/>
    <w:rsid w:val="006E7705"/>
    <w:rsid w:val="006F5791"/>
    <w:rsid w:val="007004CC"/>
    <w:rsid w:val="00703886"/>
    <w:rsid w:val="00706AC9"/>
    <w:rsid w:val="00716932"/>
    <w:rsid w:val="0072213A"/>
    <w:rsid w:val="00724B6D"/>
    <w:rsid w:val="007363FF"/>
    <w:rsid w:val="0074361A"/>
    <w:rsid w:val="00746AD5"/>
    <w:rsid w:val="00757542"/>
    <w:rsid w:val="00760791"/>
    <w:rsid w:val="007653CD"/>
    <w:rsid w:val="0076586A"/>
    <w:rsid w:val="00780E52"/>
    <w:rsid w:val="00781E45"/>
    <w:rsid w:val="007953A0"/>
    <w:rsid w:val="00797C0A"/>
    <w:rsid w:val="007A2131"/>
    <w:rsid w:val="007C4037"/>
    <w:rsid w:val="007C4698"/>
    <w:rsid w:val="007C7E9E"/>
    <w:rsid w:val="007D0C9C"/>
    <w:rsid w:val="007D5C36"/>
    <w:rsid w:val="007D7769"/>
    <w:rsid w:val="007E0E68"/>
    <w:rsid w:val="007F2895"/>
    <w:rsid w:val="00803568"/>
    <w:rsid w:val="00805DDD"/>
    <w:rsid w:val="00810AFA"/>
    <w:rsid w:val="00812294"/>
    <w:rsid w:val="00816282"/>
    <w:rsid w:val="0081646A"/>
    <w:rsid w:val="008252EE"/>
    <w:rsid w:val="008312AD"/>
    <w:rsid w:val="00832C00"/>
    <w:rsid w:val="00840F66"/>
    <w:rsid w:val="00852725"/>
    <w:rsid w:val="00854925"/>
    <w:rsid w:val="00855B41"/>
    <w:rsid w:val="00860912"/>
    <w:rsid w:val="00871A53"/>
    <w:rsid w:val="0087453E"/>
    <w:rsid w:val="0087567B"/>
    <w:rsid w:val="0089142E"/>
    <w:rsid w:val="00894A61"/>
    <w:rsid w:val="00895CBF"/>
    <w:rsid w:val="00897DFE"/>
    <w:rsid w:val="008A0727"/>
    <w:rsid w:val="008A18FA"/>
    <w:rsid w:val="008A527A"/>
    <w:rsid w:val="008A69A9"/>
    <w:rsid w:val="008A7597"/>
    <w:rsid w:val="008B1FA2"/>
    <w:rsid w:val="008B4000"/>
    <w:rsid w:val="008B63E0"/>
    <w:rsid w:val="008C0DE4"/>
    <w:rsid w:val="008C4C5C"/>
    <w:rsid w:val="008D2769"/>
    <w:rsid w:val="008D4AFB"/>
    <w:rsid w:val="008D5787"/>
    <w:rsid w:val="008E63AD"/>
    <w:rsid w:val="008E762B"/>
    <w:rsid w:val="00903730"/>
    <w:rsid w:val="00906B40"/>
    <w:rsid w:val="009112DA"/>
    <w:rsid w:val="009114D6"/>
    <w:rsid w:val="00913686"/>
    <w:rsid w:val="00924559"/>
    <w:rsid w:val="009262C4"/>
    <w:rsid w:val="0093011E"/>
    <w:rsid w:val="00940350"/>
    <w:rsid w:val="009405D4"/>
    <w:rsid w:val="00940D20"/>
    <w:rsid w:val="0095732A"/>
    <w:rsid w:val="009617D0"/>
    <w:rsid w:val="0097573D"/>
    <w:rsid w:val="00984B85"/>
    <w:rsid w:val="00987940"/>
    <w:rsid w:val="009879CF"/>
    <w:rsid w:val="009A3440"/>
    <w:rsid w:val="009A4C8F"/>
    <w:rsid w:val="009B5895"/>
    <w:rsid w:val="009B5B9E"/>
    <w:rsid w:val="009C19B5"/>
    <w:rsid w:val="009D164F"/>
    <w:rsid w:val="009D2714"/>
    <w:rsid w:val="009D5688"/>
    <w:rsid w:val="009D7D11"/>
    <w:rsid w:val="009E0760"/>
    <w:rsid w:val="009E3BBC"/>
    <w:rsid w:val="009F06F7"/>
    <w:rsid w:val="00A03927"/>
    <w:rsid w:val="00A1671A"/>
    <w:rsid w:val="00A2446E"/>
    <w:rsid w:val="00A33707"/>
    <w:rsid w:val="00A42FAA"/>
    <w:rsid w:val="00A476B2"/>
    <w:rsid w:val="00A56FAF"/>
    <w:rsid w:val="00A57B5E"/>
    <w:rsid w:val="00A60768"/>
    <w:rsid w:val="00A66D40"/>
    <w:rsid w:val="00A75D5F"/>
    <w:rsid w:val="00A80D64"/>
    <w:rsid w:val="00A8784C"/>
    <w:rsid w:val="00AA732D"/>
    <w:rsid w:val="00AB0441"/>
    <w:rsid w:val="00AB2CC7"/>
    <w:rsid w:val="00AC300E"/>
    <w:rsid w:val="00AD66BD"/>
    <w:rsid w:val="00AE0EEA"/>
    <w:rsid w:val="00AE1C98"/>
    <w:rsid w:val="00B02223"/>
    <w:rsid w:val="00B16E4B"/>
    <w:rsid w:val="00B17C2F"/>
    <w:rsid w:val="00B41F94"/>
    <w:rsid w:val="00B54C20"/>
    <w:rsid w:val="00B55A56"/>
    <w:rsid w:val="00B57620"/>
    <w:rsid w:val="00B6158E"/>
    <w:rsid w:val="00B61A7A"/>
    <w:rsid w:val="00B706DB"/>
    <w:rsid w:val="00B86F71"/>
    <w:rsid w:val="00BA2352"/>
    <w:rsid w:val="00BA3E43"/>
    <w:rsid w:val="00BD3D8D"/>
    <w:rsid w:val="00BD4077"/>
    <w:rsid w:val="00BD79A2"/>
    <w:rsid w:val="00BE3114"/>
    <w:rsid w:val="00BE49A9"/>
    <w:rsid w:val="00C01C9C"/>
    <w:rsid w:val="00C02F96"/>
    <w:rsid w:val="00C05CA1"/>
    <w:rsid w:val="00C0734B"/>
    <w:rsid w:val="00C2144A"/>
    <w:rsid w:val="00C24DDB"/>
    <w:rsid w:val="00C3055B"/>
    <w:rsid w:val="00C30F0E"/>
    <w:rsid w:val="00C329C8"/>
    <w:rsid w:val="00C40564"/>
    <w:rsid w:val="00C41431"/>
    <w:rsid w:val="00C42909"/>
    <w:rsid w:val="00C4430F"/>
    <w:rsid w:val="00C44C44"/>
    <w:rsid w:val="00C47F9A"/>
    <w:rsid w:val="00C50461"/>
    <w:rsid w:val="00C60774"/>
    <w:rsid w:val="00C66EFC"/>
    <w:rsid w:val="00C70917"/>
    <w:rsid w:val="00C749A4"/>
    <w:rsid w:val="00C7520E"/>
    <w:rsid w:val="00C7703D"/>
    <w:rsid w:val="00C86D86"/>
    <w:rsid w:val="00C96FB3"/>
    <w:rsid w:val="00C97FD5"/>
    <w:rsid w:val="00CA46BE"/>
    <w:rsid w:val="00CB0D32"/>
    <w:rsid w:val="00CB7F0A"/>
    <w:rsid w:val="00CC1613"/>
    <w:rsid w:val="00CC279A"/>
    <w:rsid w:val="00CC6AC9"/>
    <w:rsid w:val="00CD7409"/>
    <w:rsid w:val="00CF37D9"/>
    <w:rsid w:val="00D17FBC"/>
    <w:rsid w:val="00D501BA"/>
    <w:rsid w:val="00D52A38"/>
    <w:rsid w:val="00D52B3A"/>
    <w:rsid w:val="00D60E9E"/>
    <w:rsid w:val="00D62BD3"/>
    <w:rsid w:val="00D760A4"/>
    <w:rsid w:val="00D85B88"/>
    <w:rsid w:val="00D86D7B"/>
    <w:rsid w:val="00D8786D"/>
    <w:rsid w:val="00D9517F"/>
    <w:rsid w:val="00D9561B"/>
    <w:rsid w:val="00DA25A9"/>
    <w:rsid w:val="00DA61C2"/>
    <w:rsid w:val="00DA769D"/>
    <w:rsid w:val="00DC37E6"/>
    <w:rsid w:val="00DD1F25"/>
    <w:rsid w:val="00DD30BF"/>
    <w:rsid w:val="00DD5DB9"/>
    <w:rsid w:val="00DF489E"/>
    <w:rsid w:val="00E01AA5"/>
    <w:rsid w:val="00E20C34"/>
    <w:rsid w:val="00E24B81"/>
    <w:rsid w:val="00E429F2"/>
    <w:rsid w:val="00E638C4"/>
    <w:rsid w:val="00E65B70"/>
    <w:rsid w:val="00E7214E"/>
    <w:rsid w:val="00E73638"/>
    <w:rsid w:val="00E73E29"/>
    <w:rsid w:val="00E755CF"/>
    <w:rsid w:val="00E7781B"/>
    <w:rsid w:val="00E8035F"/>
    <w:rsid w:val="00E92775"/>
    <w:rsid w:val="00EA4488"/>
    <w:rsid w:val="00ED1788"/>
    <w:rsid w:val="00ED1F9A"/>
    <w:rsid w:val="00EE6006"/>
    <w:rsid w:val="00EF3C76"/>
    <w:rsid w:val="00EF6004"/>
    <w:rsid w:val="00EF6FAB"/>
    <w:rsid w:val="00F020BD"/>
    <w:rsid w:val="00F06D57"/>
    <w:rsid w:val="00F12DEC"/>
    <w:rsid w:val="00F15994"/>
    <w:rsid w:val="00F25B80"/>
    <w:rsid w:val="00F351BF"/>
    <w:rsid w:val="00F355A4"/>
    <w:rsid w:val="00F3574B"/>
    <w:rsid w:val="00F4418D"/>
    <w:rsid w:val="00F46A54"/>
    <w:rsid w:val="00F5253F"/>
    <w:rsid w:val="00F56E1A"/>
    <w:rsid w:val="00F6098B"/>
    <w:rsid w:val="00F65049"/>
    <w:rsid w:val="00F66B87"/>
    <w:rsid w:val="00F67EED"/>
    <w:rsid w:val="00F706F8"/>
    <w:rsid w:val="00F85434"/>
    <w:rsid w:val="00F9076B"/>
    <w:rsid w:val="00F977A3"/>
    <w:rsid w:val="00FA70A6"/>
    <w:rsid w:val="00FB694D"/>
    <w:rsid w:val="00FB7CE3"/>
    <w:rsid w:val="00FC46FF"/>
    <w:rsid w:val="00FC54F6"/>
    <w:rsid w:val="00FE078D"/>
    <w:rsid w:val="00FE3BBF"/>
    <w:rsid w:val="00FE6C61"/>
    <w:rsid w:val="00FF2D00"/>
    <w:rsid w:val="00FF63EC"/>
    <w:rsid w:val="0F373710"/>
    <w:rsid w:val="2BBF08DD"/>
    <w:rsid w:val="37FF4FB6"/>
    <w:rsid w:val="3DBFB234"/>
    <w:rsid w:val="56DE7A1F"/>
    <w:rsid w:val="777D7FC5"/>
    <w:rsid w:val="CE55C82A"/>
    <w:rsid w:val="DDEFE900"/>
    <w:rsid w:val="EB5B8C02"/>
    <w:rsid w:val="FAFBD68D"/>
    <w:rsid w:val="FFCA6092"/>
    <w:rsid w:val="FFFA3C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imes New Roman" w:hAnsi="Times New Roman" w:eastAsia="仿宋"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6"/>
    <w:unhideWhenUsed/>
    <w:qFormat/>
    <w:uiPriority w:val="99"/>
  </w:style>
  <w:style w:type="paragraph" w:styleId="12">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footnote text"/>
    <w:basedOn w:val="1"/>
    <w:link w:val="43"/>
    <w:semiHidden/>
    <w:unhideWhenUsed/>
    <w:qFormat/>
    <w:uiPriority w:val="99"/>
    <w:pPr>
      <w:snapToGrid w:val="0"/>
    </w:pPr>
    <w:rPr>
      <w:sz w:val="18"/>
      <w:szCs w:val="18"/>
    </w:rPr>
  </w:style>
  <w:style w:type="paragraph" w:styleId="16">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7"/>
    <w:semiHidden/>
    <w:unhideWhenUsed/>
    <w:qFormat/>
    <w:uiPriority w:val="99"/>
    <w:rPr>
      <w:b/>
      <w:bCs/>
    </w:rPr>
  </w:style>
  <w:style w:type="table" w:styleId="19">
    <w:name w:val="Table Grid"/>
    <w:basedOn w:val="1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semiHidden/>
    <w:unhideWhenUsed/>
    <w:qFormat/>
    <w:uiPriority w:val="99"/>
    <w:rPr>
      <w:sz w:val="21"/>
      <w:szCs w:val="21"/>
    </w:rPr>
  </w:style>
  <w:style w:type="character" w:styleId="22">
    <w:name w:val="footnote reference"/>
    <w:basedOn w:val="20"/>
    <w:qFormat/>
    <w:uiPriority w:val="0"/>
    <w:rPr>
      <w:rFonts w:ascii="Arial" w:hAnsi="Arial"/>
      <w:vertAlign w:val="superscript"/>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27">
    <w:name w:val="标题 5 字符"/>
    <w:basedOn w:val="20"/>
    <w:link w:val="6"/>
    <w:semiHidden/>
    <w:qFormat/>
    <w:uiPriority w:val="9"/>
    <w:rPr>
      <w:rFonts w:asciiTheme="minorHAnsi" w:hAnsiTheme="minorHAnsi" w:eastAsiaTheme="minorEastAsia" w:cstheme="majorBidi"/>
      <w:color w:val="104862" w:themeColor="accent1" w:themeShade="BF"/>
      <w:sz w:val="24"/>
    </w:rPr>
  </w:style>
  <w:style w:type="character" w:customStyle="1" w:styleId="28">
    <w:name w:val="标题 6 字符"/>
    <w:basedOn w:val="20"/>
    <w:link w:val="7"/>
    <w:semiHidden/>
    <w:qFormat/>
    <w:uiPriority w:val="9"/>
    <w:rPr>
      <w:rFonts w:asciiTheme="minorHAnsi" w:hAnsiTheme="minorHAnsi" w:eastAsiaTheme="minorEastAsia" w:cstheme="majorBidi"/>
      <w:b/>
      <w:bCs/>
      <w:color w:val="104862" w:themeColor="accent1" w:themeShade="BF"/>
    </w:rPr>
  </w:style>
  <w:style w:type="character" w:customStyle="1" w:styleId="29">
    <w:name w:val="标题 7 字符"/>
    <w:basedOn w:val="20"/>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3"/>
    <w:qFormat/>
    <w:uiPriority w:val="99"/>
    <w:rPr>
      <w:sz w:val="18"/>
      <w:szCs w:val="18"/>
    </w:rPr>
  </w:style>
  <w:style w:type="character" w:customStyle="1" w:styleId="42">
    <w:name w:val="页脚 字符"/>
    <w:basedOn w:val="20"/>
    <w:link w:val="12"/>
    <w:qFormat/>
    <w:uiPriority w:val="99"/>
    <w:rPr>
      <w:sz w:val="18"/>
      <w:szCs w:val="18"/>
    </w:rPr>
  </w:style>
  <w:style w:type="character" w:customStyle="1" w:styleId="43">
    <w:name w:val="脚注文本 字符"/>
    <w:basedOn w:val="20"/>
    <w:link w:val="15"/>
    <w:semiHidden/>
    <w:qFormat/>
    <w:uiPriority w:val="99"/>
    <w:rPr>
      <w:sz w:val="18"/>
      <w:szCs w:val="18"/>
    </w:rPr>
  </w:style>
  <w:style w:type="table" w:customStyle="1" w:styleId="44">
    <w:name w:val="网格型1"/>
    <w:basedOn w:val="18"/>
    <w:qFormat/>
    <w:uiPriority w:val="59"/>
    <w:rPr>
      <w:rFonts w:ascii="Calibri" w:hAnsi="Calibri" w:eastAsia="宋体"/>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5">
    <w:name w:val="修订1"/>
    <w:hidden/>
    <w:semiHidden/>
    <w:qFormat/>
    <w:uiPriority w:val="99"/>
    <w:rPr>
      <w:rFonts w:ascii="Times New Roman" w:hAnsi="Times New Roman" w:eastAsia="仿宋" w:cstheme="minorBidi"/>
      <w:kern w:val="2"/>
      <w:sz w:val="22"/>
      <w:szCs w:val="24"/>
      <w:lang w:val="en-US" w:eastAsia="zh-CN" w:bidi="ar-SA"/>
      <w14:ligatures w14:val="standardContextual"/>
    </w:rPr>
  </w:style>
  <w:style w:type="character" w:customStyle="1" w:styleId="46">
    <w:name w:val="批注文字 字符"/>
    <w:basedOn w:val="20"/>
    <w:link w:val="11"/>
    <w:qFormat/>
    <w:uiPriority w:val="99"/>
  </w:style>
  <w:style w:type="character" w:customStyle="1" w:styleId="47">
    <w:name w:val="批注主题 字符"/>
    <w:basedOn w:val="46"/>
    <w:link w:val="17"/>
    <w:semiHidden/>
    <w:qFormat/>
    <w:uiPriority w:val="99"/>
    <w:rPr>
      <w:b/>
      <w:bCs/>
    </w:rPr>
  </w:style>
  <w:style w:type="paragraph" w:customStyle="1" w:styleId="48">
    <w:name w:val="修订2"/>
    <w:hidden/>
    <w:unhideWhenUsed/>
    <w:uiPriority w:val="99"/>
    <w:rPr>
      <w:rFonts w:ascii="Times New Roman" w:hAnsi="Times New Roman" w:eastAsia="仿宋" w:cstheme="minorBidi"/>
      <w:kern w:val="2"/>
      <w:sz w:val="22"/>
      <w:szCs w:val="24"/>
      <w:lang w:val="en-US" w:eastAsia="zh-CN" w:bidi="ar-SA"/>
      <w14:ligatures w14:val="standardContextual"/>
    </w:rPr>
  </w:style>
  <w:style w:type="paragraph" w:customStyle="1" w:styleId="49">
    <w:name w:val="Default"/>
    <w:uiPriority w:val="0"/>
    <w:pPr>
      <w:autoSpaceDE w:val="0"/>
      <w:autoSpaceDN w:val="0"/>
      <w:adjustRightInd w:val="0"/>
    </w:pPr>
    <w:rPr>
      <w:rFonts w:ascii="Times New Roman" w:hAnsi="Times New Roman" w:cs="Times New Roman" w:eastAsiaTheme="minorEastAsia"/>
      <w:color w:val="000000"/>
      <w:sz w:val="24"/>
      <w:szCs w:val="24"/>
      <w:lang w:val="en-GB" w:eastAsia="en-US" w:bidi="ar-SA"/>
    </w:rPr>
  </w:style>
  <w:style w:type="paragraph" w:customStyle="1" w:styleId="50">
    <w:name w:val="Revision"/>
    <w:hidden/>
    <w:unhideWhenUsed/>
    <w:uiPriority w:val="99"/>
    <w:rPr>
      <w:rFonts w:ascii="Times New Roman" w:hAnsi="Times New Roman" w:eastAsia="仿宋"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154</Words>
  <Characters>884</Characters>
  <Lines>7</Lines>
  <Paragraphs>2</Paragraphs>
  <TotalTime>2</TotalTime>
  <ScaleCrop>false</ScaleCrop>
  <LinksUpToDate>false</LinksUpToDate>
  <CharactersWithSpaces>1036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2026-09-15T14:35:00Z</dcterms:created>
  <dc:creator>Han Kun</dc:creator>
  <cp:lastModifiedBy>scjgj</cp:lastModifiedBy>
  <cp:lastPrinted>2026-03-17T03:21:00Z</cp:lastPrinted>
  <dcterms:modified xsi:type="dcterms:W3CDTF">2026-09-15T14:54:49Z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2FFDEB36B8B64DA030F94D6ADCE34FB7_42</vt:lpwstr>
  </property>
</Properties>
</file>