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687F" w14:textId="77777777" w:rsidR="00352B13" w:rsidRDefault="00352B13">
      <w:pPr>
        <w:jc w:val="center"/>
        <w:rPr>
          <w:rFonts w:ascii="黑体" w:eastAsia="黑体" w:hAnsi="黑体" w:cs="方正小标宋_GBK"/>
          <w:sz w:val="36"/>
          <w:szCs w:val="36"/>
        </w:rPr>
      </w:pPr>
    </w:p>
    <w:p w14:paraId="7532DD23" w14:textId="0BCC0924" w:rsidR="003A35AA" w:rsidRDefault="00E26360">
      <w:pPr>
        <w:jc w:val="center"/>
        <w:rPr>
          <w:rFonts w:ascii="黑体" w:eastAsia="黑体" w:hAnsi="黑体" w:cs="方正小标宋_GBK"/>
          <w:bCs/>
          <w:sz w:val="36"/>
          <w:szCs w:val="36"/>
        </w:rPr>
      </w:pPr>
      <w:r>
        <w:rPr>
          <w:rFonts w:ascii="黑体" w:eastAsia="黑体" w:hAnsi="黑体" w:cs="方正小标宋_GBK" w:hint="eastAsia"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6093"/>
      </w:tblGrid>
      <w:tr w:rsidR="00790A6A" w:rsidRPr="00896E9A" w14:paraId="32568068" w14:textId="77777777">
        <w:trPr>
          <w:trHeight w:val="926"/>
        </w:trPr>
        <w:tc>
          <w:tcPr>
            <w:tcW w:w="1940" w:type="dxa"/>
            <w:shd w:val="clear" w:color="auto" w:fill="D9D9D9"/>
            <w:vAlign w:val="center"/>
          </w:tcPr>
          <w:p w14:paraId="3B5A76AF" w14:textId="77777777" w:rsidR="00790A6A" w:rsidRPr="00896E9A" w:rsidRDefault="00790A6A" w:rsidP="00790A6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/>
              </w:rPr>
            </w:pPr>
            <w:proofErr w:type="spellStart"/>
            <w:r w:rsidRPr="00896E9A">
              <w:rPr>
                <w:rFonts w:ascii="宋体" w:hAnsi="宋体" w:cs="Times New Roman"/>
                <w:bCs/>
                <w:color w:val="000000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1887F1DE" w14:textId="000E8FBB" w:rsidR="00790A6A" w:rsidRPr="00896E9A" w:rsidRDefault="00622DB6" w:rsidP="00790A6A">
            <w:pPr>
              <w:adjustRightInd w:val="0"/>
              <w:snapToGrid w:val="0"/>
              <w:spacing w:after="0"/>
              <w:rPr>
                <w:rFonts w:ascii="宋体" w:hAnsi="宋体"/>
                <w:lang w:val="en-US"/>
              </w:rPr>
            </w:pPr>
            <w:r w:rsidRPr="00622DB6">
              <w:rPr>
                <w:rFonts w:ascii="宋体" w:hAnsi="宋体"/>
                <w:lang w:val="en-US"/>
              </w:rPr>
              <w:t>马士基物流及服务</w:t>
            </w:r>
            <w:proofErr w:type="gramStart"/>
            <w:r w:rsidRPr="00622DB6">
              <w:rPr>
                <w:rFonts w:ascii="宋体" w:hAnsi="宋体"/>
                <w:lang w:val="en-US"/>
              </w:rPr>
              <w:t>(香港)</w:t>
            </w:r>
            <w:proofErr w:type="gramEnd"/>
            <w:r w:rsidRPr="00622DB6">
              <w:rPr>
                <w:rFonts w:ascii="宋体" w:hAnsi="宋体"/>
                <w:lang w:val="en-US"/>
              </w:rPr>
              <w:t>有限公司与中集世联达物流科技（集团）股份有限公司新设合营企业</w:t>
            </w:r>
            <w:r w:rsidRPr="00622DB6">
              <w:rPr>
                <w:rFonts w:ascii="宋体" w:hAnsi="宋体" w:hint="eastAsia"/>
                <w:lang w:val="en-US"/>
              </w:rPr>
              <w:t>案</w:t>
            </w:r>
          </w:p>
        </w:tc>
      </w:tr>
      <w:tr w:rsidR="003A35AA" w:rsidRPr="00896E9A" w14:paraId="53771873" w14:textId="77777777">
        <w:trPr>
          <w:trHeight w:val="2181"/>
        </w:trPr>
        <w:tc>
          <w:tcPr>
            <w:tcW w:w="1940" w:type="dxa"/>
            <w:shd w:val="clear" w:color="auto" w:fill="D9D9D9"/>
            <w:vAlign w:val="center"/>
          </w:tcPr>
          <w:p w14:paraId="3B88D672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交易概况（限200字内）</w:t>
            </w:r>
          </w:p>
        </w:tc>
        <w:tc>
          <w:tcPr>
            <w:tcW w:w="7700" w:type="dxa"/>
            <w:gridSpan w:val="2"/>
            <w:vAlign w:val="center"/>
          </w:tcPr>
          <w:p w14:paraId="0B97A3E4" w14:textId="4BC7F944" w:rsidR="00E363BF" w:rsidRPr="00896E9A" w:rsidRDefault="0047365A" w:rsidP="003A7A36">
            <w:pPr>
              <w:snapToGrid w:val="0"/>
              <w:spacing w:after="0"/>
              <w:rPr>
                <w:rFonts w:ascii="宋体" w:hAnsi="宋体"/>
                <w:lang w:val="en-US"/>
              </w:rPr>
            </w:pPr>
            <w:r w:rsidRPr="0047365A">
              <w:rPr>
                <w:rFonts w:ascii="宋体" w:hAnsi="宋体"/>
              </w:rPr>
              <w:t>马士基物流及服务（香港）有限公司（“马士基香港”）与中集世联达物流科技（集团）股份有限公司（“中集世联达”）签署交易协议，设立一家合营企业。合营企业将主要从事集装箱堆场服务，并可能于未来提供少量附属性质的国际海上货运代理服务。本次交易后，马士基香港和中集世联达将分别持有合营企业51%和49%的股权，双方将在中国《反垄断法》意义上共同控制合营企业。</w:t>
            </w:r>
          </w:p>
        </w:tc>
      </w:tr>
      <w:tr w:rsidR="001D3830" w:rsidRPr="00896E9A" w14:paraId="7EB10359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1AF1DD94" w14:textId="77777777" w:rsidR="001D3830" w:rsidRPr="00896E9A" w:rsidRDefault="001D383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参与集中的经营者简介（每个限</w:t>
            </w: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100字以内</w:t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4BCE3C86" w14:textId="6C29A86F" w:rsidR="001D3830" w:rsidRPr="00896E9A" w:rsidRDefault="001D3830">
            <w:pPr>
              <w:pStyle w:val="a0"/>
              <w:adjustRightInd w:val="0"/>
              <w:snapToGrid w:val="0"/>
              <w:spacing w:after="0"/>
              <w:jc w:val="left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proofErr w:type="gramStart"/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1</w:t>
            </w:r>
            <w:r w:rsidR="0097755D" w:rsidRPr="00896E9A">
              <w:rPr>
                <w:rFonts w:ascii="宋体" w:hAnsi="宋体" w:cs="Times New Roman" w:hint="eastAsia"/>
                <w:bCs/>
                <w:color w:val="000000"/>
                <w:lang w:val="en-US" w:eastAsia="zh-CN"/>
              </w:rPr>
              <w:t xml:space="preserve"> </w:t>
            </w:r>
            <w:r w:rsidR="005F36E7" w:rsidRPr="00896E9A">
              <w:rPr>
                <w:rFonts w:ascii="宋体" w:hAnsi="宋体" w:cs="Times New Roman" w:hint="eastAsia"/>
                <w:bCs/>
                <w:color w:val="000000"/>
                <w:lang w:val="en-US" w:eastAsia="zh-CN"/>
              </w:rPr>
              <w:t>马士基</w:t>
            </w:r>
            <w:proofErr w:type="gramEnd"/>
            <w:r w:rsidR="005F36E7" w:rsidRPr="00896E9A">
              <w:rPr>
                <w:rFonts w:ascii="宋体" w:hAnsi="宋体" w:cs="Times New Roman" w:hint="eastAsia"/>
                <w:bCs/>
                <w:color w:val="000000"/>
                <w:lang w:val="en-US" w:eastAsia="zh-CN"/>
              </w:rPr>
              <w:t>香港</w:t>
            </w:r>
          </w:p>
        </w:tc>
        <w:tc>
          <w:tcPr>
            <w:tcW w:w="6093" w:type="dxa"/>
            <w:vAlign w:val="center"/>
          </w:tcPr>
          <w:p w14:paraId="47B8C06A" w14:textId="1552B05C" w:rsidR="001D3830" w:rsidRPr="00720471" w:rsidRDefault="00D07464" w:rsidP="006A7D27">
            <w:pPr>
              <w:adjustRightInd w:val="0"/>
              <w:snapToGrid w:val="0"/>
              <w:spacing w:after="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  <w:lang w:val="en-US"/>
              </w:rPr>
              <w:t>马士基香港</w:t>
            </w:r>
            <w:r w:rsidR="00A36537">
              <w:rPr>
                <w:rFonts w:ascii="宋体" w:hAnsi="宋体" w:hint="eastAsia"/>
                <w:bCs/>
                <w:lang w:val="en-US"/>
              </w:rPr>
              <w:t>于2001年1</w:t>
            </w:r>
            <w:r w:rsidR="00A36537" w:rsidRPr="00720471">
              <w:rPr>
                <w:rFonts w:ascii="宋体" w:hAnsi="宋体" w:hint="eastAsia"/>
                <w:bCs/>
              </w:rPr>
              <w:t>1月2日成立于中国香港，</w:t>
            </w:r>
            <w:r w:rsidR="00837965" w:rsidRPr="00720471">
              <w:rPr>
                <w:rFonts w:ascii="宋体" w:hAnsi="宋体"/>
                <w:bCs/>
              </w:rPr>
              <w:t>从事国际货运代理服务的公司。此外，该公司提供报关服务、供应链管理、多式联运、仓储服务以及配送</w:t>
            </w:r>
            <w:r w:rsidR="00837965" w:rsidRPr="00720471">
              <w:rPr>
                <w:rFonts w:ascii="宋体" w:hAnsi="宋体" w:hint="eastAsia"/>
                <w:bCs/>
              </w:rPr>
              <w:t>。马士基香港也从事投资控股业务</w:t>
            </w:r>
            <w:r w:rsidR="00837965" w:rsidRPr="00720471">
              <w:rPr>
                <w:rFonts w:ascii="宋体" w:hAnsi="宋体"/>
                <w:bCs/>
              </w:rPr>
              <w:t>。</w:t>
            </w:r>
          </w:p>
          <w:p w14:paraId="400AF049" w14:textId="423F1A81" w:rsidR="001D3830" w:rsidRPr="00896E9A" w:rsidRDefault="000F5853" w:rsidP="006A7D27">
            <w:pPr>
              <w:adjustRightInd w:val="0"/>
              <w:snapToGrid w:val="0"/>
              <w:spacing w:after="0"/>
              <w:rPr>
                <w:rFonts w:ascii="宋体" w:hAnsi="宋体"/>
                <w:lang w:val="en-US"/>
              </w:rPr>
            </w:pPr>
            <w:r w:rsidRPr="000F5853">
              <w:rPr>
                <w:rFonts w:ascii="宋体" w:hAnsi="宋体" w:hint="eastAsia"/>
                <w:bCs/>
              </w:rPr>
              <w:t>马士基</w:t>
            </w:r>
            <w:r>
              <w:rPr>
                <w:rFonts w:ascii="宋体" w:hAnsi="宋体" w:hint="eastAsia"/>
                <w:bCs/>
              </w:rPr>
              <w:t>香港</w:t>
            </w:r>
            <w:r w:rsidRPr="000F5853">
              <w:rPr>
                <w:rFonts w:ascii="宋体" w:hAnsi="宋体" w:hint="eastAsia"/>
                <w:bCs/>
              </w:rPr>
              <w:t xml:space="preserve">的最终控制人为A.P. Møller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og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Hustru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Chastine Mc-Kinney Møllers Fond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til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almene</w:t>
            </w:r>
            <w:proofErr w:type="spellEnd"/>
            <w:r w:rsidRPr="000F5853">
              <w:rPr>
                <w:rFonts w:ascii="宋体" w:hAnsi="宋体" w:hint="eastAsia"/>
                <w:bCs/>
              </w:rPr>
              <w:t xml:space="preserve"> </w:t>
            </w:r>
            <w:proofErr w:type="spellStart"/>
            <w:r w:rsidRPr="000F5853">
              <w:rPr>
                <w:rFonts w:ascii="宋体" w:hAnsi="宋体" w:hint="eastAsia"/>
                <w:bCs/>
              </w:rPr>
              <w:t>Formaal</w:t>
            </w:r>
            <w:proofErr w:type="spellEnd"/>
            <w:r w:rsidR="008A0943">
              <w:rPr>
                <w:rFonts w:ascii="宋体" w:hAnsi="宋体" w:hint="eastAsia"/>
                <w:bCs/>
              </w:rPr>
              <w:t>。</w:t>
            </w:r>
            <w:r w:rsidR="00E617D5">
              <w:rPr>
                <w:rFonts w:ascii="宋体" w:hAnsi="宋体" w:hint="eastAsia"/>
                <w:bCs/>
              </w:rPr>
              <w:t>马士基</w:t>
            </w:r>
            <w:r w:rsidRPr="000F5853">
              <w:rPr>
                <w:rFonts w:ascii="宋体" w:hAnsi="宋体" w:hint="eastAsia"/>
                <w:bCs/>
              </w:rPr>
              <w:t>集团的核心业务</w:t>
            </w:r>
            <w:r w:rsidR="002A7812" w:rsidRPr="002A7812">
              <w:rPr>
                <w:rFonts w:ascii="宋体" w:hAnsi="宋体" w:hint="eastAsia"/>
                <w:bCs/>
              </w:rPr>
              <w:t>包括集装箱班轮运输、集装箱码头服务、内陆运输、仓储服务及冷藏集装箱制造</w:t>
            </w:r>
            <w:r w:rsidR="002A7812">
              <w:rPr>
                <w:rFonts w:ascii="宋体" w:hAnsi="宋体" w:hint="eastAsia"/>
                <w:bCs/>
              </w:rPr>
              <w:t>。</w:t>
            </w:r>
          </w:p>
        </w:tc>
      </w:tr>
      <w:tr w:rsidR="001D3830" w:rsidRPr="00896E9A" w14:paraId="05DCAF8B" w14:textId="77777777">
        <w:trPr>
          <w:trHeight w:val="984"/>
        </w:trPr>
        <w:tc>
          <w:tcPr>
            <w:tcW w:w="1940" w:type="dxa"/>
            <w:vMerge/>
            <w:shd w:val="clear" w:color="auto" w:fill="D9D9D9"/>
            <w:vAlign w:val="center"/>
          </w:tcPr>
          <w:p w14:paraId="67DA5D93" w14:textId="77777777" w:rsidR="001D3830" w:rsidRPr="00896E9A" w:rsidRDefault="001D383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48D95778" w14:textId="5D15F82C" w:rsidR="001D3830" w:rsidRPr="00896E9A" w:rsidRDefault="001D3830" w:rsidP="0076578F">
            <w:pPr>
              <w:pStyle w:val="a0"/>
              <w:adjustRightInd w:val="0"/>
              <w:snapToGrid w:val="0"/>
              <w:spacing w:after="0"/>
              <w:jc w:val="left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2</w:t>
            </w:r>
            <w:proofErr w:type="gramStart"/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t>.</w:t>
            </w:r>
            <w:r w:rsidRPr="00896E9A">
              <w:rPr>
                <w:rFonts w:ascii="宋体" w:hAnsi="宋体" w:hint="eastAsia"/>
                <w:lang w:val="en-US"/>
              </w:rPr>
              <w:t xml:space="preserve"> </w:t>
            </w:r>
            <w:r w:rsidR="005F36E7" w:rsidRPr="00896E9A">
              <w:rPr>
                <w:rFonts w:ascii="宋体" w:hAnsi="宋体" w:hint="eastAsia"/>
                <w:bCs/>
                <w:lang w:val="en-US" w:eastAsia="zh-CN"/>
              </w:rPr>
              <w:t>中集</w:t>
            </w:r>
            <w:proofErr w:type="gramEnd"/>
            <w:r w:rsidR="005F36E7" w:rsidRPr="00896E9A">
              <w:rPr>
                <w:rFonts w:ascii="宋体" w:hAnsi="宋体" w:hint="eastAsia"/>
                <w:bCs/>
                <w:lang w:val="en-US" w:eastAsia="zh-CN"/>
              </w:rPr>
              <w:t>世联达</w:t>
            </w:r>
          </w:p>
        </w:tc>
        <w:tc>
          <w:tcPr>
            <w:tcW w:w="6093" w:type="dxa"/>
            <w:vAlign w:val="center"/>
          </w:tcPr>
          <w:p w14:paraId="090573B9" w14:textId="77777777" w:rsidR="00DE7FCC" w:rsidRPr="00896E9A" w:rsidRDefault="00DE7FCC" w:rsidP="00DE7FCC">
            <w:pPr>
              <w:adjustRightInd w:val="0"/>
              <w:snapToGrid w:val="0"/>
              <w:spacing w:after="0"/>
              <w:rPr>
                <w:rFonts w:ascii="宋体" w:hAnsi="宋体"/>
                <w:bCs/>
                <w:color w:val="000000"/>
                <w:lang w:val="en-US"/>
              </w:rPr>
            </w:pPr>
            <w:r w:rsidRPr="00DE7FCC">
              <w:rPr>
                <w:rFonts w:ascii="宋体" w:hAnsi="宋体" w:hint="eastAsia"/>
                <w:bCs/>
                <w:color w:val="000000"/>
              </w:rPr>
              <w:t>中集世联达于</w:t>
            </w:r>
            <w:r w:rsidRPr="00DE7FCC">
              <w:rPr>
                <w:rFonts w:ascii="宋体" w:hAnsi="宋体"/>
                <w:bCs/>
                <w:color w:val="000000"/>
              </w:rPr>
              <w:t>2014</w:t>
            </w:r>
            <w:r w:rsidRPr="00DE7FCC">
              <w:rPr>
                <w:rFonts w:ascii="宋体" w:hAnsi="宋体" w:hint="eastAsia"/>
                <w:bCs/>
                <w:color w:val="000000"/>
              </w:rPr>
              <w:t>年</w:t>
            </w:r>
            <w:r w:rsidRPr="00DE7FCC">
              <w:rPr>
                <w:rFonts w:ascii="宋体" w:hAnsi="宋体"/>
                <w:bCs/>
                <w:color w:val="000000"/>
              </w:rPr>
              <w:t>3</w:t>
            </w:r>
            <w:r w:rsidRPr="00DE7FCC">
              <w:rPr>
                <w:rFonts w:ascii="宋体" w:hAnsi="宋体" w:hint="eastAsia"/>
                <w:bCs/>
                <w:color w:val="000000"/>
              </w:rPr>
              <w:t>月</w:t>
            </w:r>
            <w:r w:rsidRPr="00DE7FCC">
              <w:rPr>
                <w:rFonts w:ascii="宋体" w:hAnsi="宋体"/>
                <w:bCs/>
                <w:color w:val="000000"/>
              </w:rPr>
              <w:t>12</w:t>
            </w:r>
            <w:r w:rsidRPr="00DE7FCC">
              <w:rPr>
                <w:rFonts w:ascii="宋体" w:hAnsi="宋体" w:hint="eastAsia"/>
                <w:bCs/>
                <w:color w:val="000000"/>
              </w:rPr>
              <w:t>日成立于中国天津市，主要业务为集装箱服务和国际货运代理等。</w:t>
            </w:r>
            <w:r w:rsidRPr="00DE7FCC">
              <w:rPr>
                <w:rFonts w:ascii="宋体" w:hAnsi="宋体" w:hint="eastAsia"/>
                <w:bCs/>
                <w:color w:val="000000"/>
                <w:lang w:val="en-US"/>
              </w:rPr>
              <w:t xml:space="preserve"> </w:t>
            </w:r>
          </w:p>
          <w:p w14:paraId="42F1DEED" w14:textId="2BD76052" w:rsidR="00DE7FCC" w:rsidRPr="00DE7FCC" w:rsidRDefault="00DE7FCC" w:rsidP="00DE7FCC">
            <w:pPr>
              <w:adjustRightInd w:val="0"/>
              <w:snapToGrid w:val="0"/>
              <w:spacing w:after="0"/>
              <w:rPr>
                <w:rFonts w:ascii="宋体" w:hAnsi="宋体"/>
                <w:bCs/>
                <w:color w:val="000000"/>
                <w:lang w:val="en-US"/>
              </w:rPr>
            </w:pPr>
            <w:r w:rsidRPr="00896E9A">
              <w:rPr>
                <w:rFonts w:ascii="宋体" w:hAnsi="宋体" w:hint="eastAsia"/>
                <w:bCs/>
                <w:color w:val="000000"/>
                <w:lang w:val="en-US"/>
              </w:rPr>
              <w:t>中集</w:t>
            </w:r>
            <w:r w:rsidR="0083372D" w:rsidRPr="00896E9A">
              <w:rPr>
                <w:rFonts w:ascii="宋体" w:hAnsi="宋体" w:hint="eastAsia"/>
                <w:bCs/>
                <w:color w:val="000000"/>
                <w:lang w:val="en-US"/>
              </w:rPr>
              <w:t>世联达的最终控制人为中国国际海运集装箱（集团）股份有限公司，为深圳证券交易所和</w:t>
            </w:r>
            <w:r w:rsidR="00FB5659" w:rsidRPr="00896E9A">
              <w:rPr>
                <w:rFonts w:ascii="宋体" w:hAnsi="宋体" w:hint="eastAsia"/>
                <w:bCs/>
                <w:color w:val="000000"/>
                <w:lang w:val="en-US"/>
              </w:rPr>
              <w:t>香港联合交易所上市公司</w:t>
            </w:r>
            <w:r w:rsidR="004070D4" w:rsidRPr="00896E9A">
              <w:rPr>
                <w:rFonts w:ascii="宋体" w:hAnsi="宋体" w:hint="eastAsia"/>
                <w:bCs/>
                <w:color w:val="000000"/>
                <w:lang w:val="en-US"/>
              </w:rPr>
              <w:t>，</w:t>
            </w:r>
            <w:r w:rsidR="00B91426" w:rsidRPr="00896E9A">
              <w:rPr>
                <w:rFonts w:ascii="宋体" w:hAnsi="宋体" w:hint="eastAsia"/>
                <w:bCs/>
                <w:color w:val="000000"/>
                <w:lang w:val="en-US"/>
              </w:rPr>
              <w:t>主要业务</w:t>
            </w:r>
            <w:r w:rsidR="004C707C" w:rsidRPr="00896E9A">
              <w:rPr>
                <w:rFonts w:ascii="宋体" w:hAnsi="宋体" w:hint="eastAsia"/>
                <w:bCs/>
                <w:color w:val="000000"/>
                <w:lang w:val="en-US"/>
              </w:rPr>
              <w:t>领域</w:t>
            </w:r>
            <w:r w:rsidR="007166C4" w:rsidRPr="007166C4">
              <w:rPr>
                <w:rFonts w:ascii="宋体" w:hAnsi="宋体" w:hint="eastAsia"/>
                <w:bCs/>
                <w:color w:val="000000"/>
                <w:lang w:val="en-US"/>
              </w:rPr>
              <w:t>为集装箱、道路运输车辆、能源化工及食品装备、海洋工程、物流服务、空港设备等</w:t>
            </w:r>
            <w:r w:rsidR="00F8579F" w:rsidRPr="00896E9A">
              <w:rPr>
                <w:rFonts w:ascii="宋体" w:hAnsi="宋体" w:hint="eastAsia"/>
                <w:bCs/>
                <w:color w:val="000000"/>
                <w:lang w:val="en-US"/>
              </w:rPr>
              <w:t>。</w:t>
            </w:r>
          </w:p>
          <w:p w14:paraId="774DFC80" w14:textId="41377EBA" w:rsidR="001D3830" w:rsidRPr="007166C4" w:rsidRDefault="001D3830" w:rsidP="00B3029D">
            <w:pPr>
              <w:adjustRightInd w:val="0"/>
              <w:snapToGrid w:val="0"/>
              <w:spacing w:after="0"/>
              <w:rPr>
                <w:rFonts w:ascii="宋体" w:hAnsi="宋体"/>
                <w:bCs/>
                <w:color w:val="000000"/>
                <w:lang w:val="en-US"/>
              </w:rPr>
            </w:pPr>
          </w:p>
        </w:tc>
      </w:tr>
      <w:tr w:rsidR="003A35AA" w:rsidRPr="00896E9A" w14:paraId="28D7A6D6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7E47107A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750263D" w14:textId="304359DB" w:rsidR="003A35AA" w:rsidRPr="00896E9A" w:rsidRDefault="00E3693D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FE"/>
            </w:r>
            <w:r w:rsidR="00B3029D"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1、在同一相关市场，所有参与集中的经营者所占市场份额之和小于15%。</w:t>
            </w:r>
          </w:p>
        </w:tc>
      </w:tr>
      <w:tr w:rsidR="003A35AA" w:rsidRPr="00896E9A" w14:paraId="79E8D31A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74282DD1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44728F1B" w14:textId="0A8D089B" w:rsidR="003A35AA" w:rsidRPr="00896E9A" w:rsidRDefault="00D43B53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FE"/>
            </w:r>
            <w:r w:rsidR="00E26360"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2、存在上下游关系的参与集中的经营者，在上下游市场所占的市场份额均小于25%。</w:t>
            </w:r>
          </w:p>
        </w:tc>
      </w:tr>
      <w:tr w:rsidR="003A35AA" w:rsidRPr="00896E9A" w14:paraId="05BDF7EB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73F7738B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7718994C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3、不在同一相关市场、也不存在上下游关系的参与集中的经营者，在与交易有关的每个市场所占的份额均小于25%。</w:t>
            </w:r>
          </w:p>
        </w:tc>
      </w:tr>
      <w:tr w:rsidR="003A35AA" w:rsidRPr="00896E9A" w14:paraId="77683F1E" w14:textId="77777777">
        <w:trPr>
          <w:trHeight w:val="870"/>
        </w:trPr>
        <w:tc>
          <w:tcPr>
            <w:tcW w:w="1940" w:type="dxa"/>
            <w:vMerge/>
            <w:shd w:val="clear" w:color="auto" w:fill="D9D9D9"/>
            <w:vAlign w:val="center"/>
          </w:tcPr>
          <w:p w14:paraId="63DC96DC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2094615F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4、参与集中的经营者在中国境外设立合营企业，合营企业不在中国境内从事经济活动。</w:t>
            </w:r>
          </w:p>
        </w:tc>
      </w:tr>
      <w:tr w:rsidR="003A35AA" w:rsidRPr="00896E9A" w14:paraId="1D0695B0" w14:textId="77777777">
        <w:trPr>
          <w:trHeight w:val="264"/>
        </w:trPr>
        <w:tc>
          <w:tcPr>
            <w:tcW w:w="1940" w:type="dxa"/>
            <w:vMerge/>
            <w:shd w:val="clear" w:color="auto" w:fill="D9D9D9"/>
            <w:vAlign w:val="center"/>
          </w:tcPr>
          <w:p w14:paraId="754A5848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4029C20F" w14:textId="0A0CCDB6" w:rsidR="003A35AA" w:rsidRPr="00896E9A" w:rsidRDefault="00D43B53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="00B3029D"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5、参与集中的经营者收购境外企业股权或资产的，该境外企业不在中国境内从事经济活动。</w:t>
            </w:r>
          </w:p>
        </w:tc>
      </w:tr>
      <w:tr w:rsidR="003A35AA" w:rsidRPr="00896E9A" w14:paraId="51E7F289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20A94B6B" w14:textId="77777777" w:rsidR="003A35AA" w:rsidRPr="00896E9A" w:rsidRDefault="003A35AA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9BF107B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sym w:font="Wingdings" w:char="00A8"/>
            </w:r>
            <w:r w:rsidRPr="00896E9A">
              <w:rPr>
                <w:rFonts w:ascii="宋体" w:hAnsi="宋体" w:cs="Times New Roman"/>
                <w:bCs/>
                <w:color w:val="000000"/>
                <w:lang w:eastAsia="zh-CN"/>
              </w:rPr>
              <w:t xml:space="preserve"> 6、由两个以上的经营者共同控制的合营企业，通过集中被其中一个或一个以上经营者控制。</w:t>
            </w:r>
          </w:p>
        </w:tc>
      </w:tr>
      <w:tr w:rsidR="003A35AA" w:rsidRPr="00896E9A" w14:paraId="71CA8F7E" w14:textId="77777777" w:rsidTr="00CB5A7D">
        <w:trPr>
          <w:trHeight w:val="782"/>
        </w:trPr>
        <w:tc>
          <w:tcPr>
            <w:tcW w:w="1940" w:type="dxa"/>
            <w:shd w:val="clear" w:color="auto" w:fill="D9D9D9"/>
            <w:vAlign w:val="center"/>
          </w:tcPr>
          <w:p w14:paraId="4A503FEB" w14:textId="77777777" w:rsidR="003A35AA" w:rsidRPr="00896E9A" w:rsidRDefault="00E26360">
            <w:pPr>
              <w:pStyle w:val="a0"/>
              <w:adjustRightInd w:val="0"/>
              <w:snapToGrid w:val="0"/>
              <w:spacing w:after="0"/>
              <w:rPr>
                <w:rFonts w:ascii="宋体" w:hAnsi="宋体" w:cs="Times New Roman"/>
                <w:bCs/>
                <w:color w:val="000000"/>
                <w:lang w:val="en-US" w:eastAsia="zh-CN"/>
              </w:rPr>
            </w:pPr>
            <w:r w:rsidRPr="00896E9A">
              <w:rPr>
                <w:rFonts w:ascii="宋体" w:hAnsi="宋体" w:cs="Times New Roman"/>
                <w:bCs/>
                <w:color w:val="000000"/>
                <w:lang w:val="en-US" w:eastAsia="zh-CN"/>
              </w:rPr>
              <w:lastRenderedPageBreak/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5BFFEADF" w14:textId="77777777" w:rsidR="007F77A9" w:rsidRDefault="007F77A9" w:rsidP="007F77A9">
            <w:pPr>
              <w:adjustRightInd w:val="0"/>
              <w:spacing w:after="0"/>
              <w:jc w:val="left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横向重叠：</w:t>
            </w:r>
          </w:p>
          <w:p w14:paraId="03E25551" w14:textId="70692D20" w:rsidR="007F77A9" w:rsidRDefault="007F77A9" w:rsidP="007F77A9">
            <w:pPr>
              <w:adjustRightInd w:val="0"/>
              <w:spacing w:after="0"/>
              <w:jc w:val="left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2024年</w:t>
            </w:r>
            <w:r w:rsidR="00EF5414">
              <w:rPr>
                <w:rFonts w:ascii="宋体" w:hAnsi="宋体" w:hint="eastAsia"/>
                <w:bCs/>
                <w:color w:val="000000"/>
              </w:rPr>
              <w:t>中国境内</w:t>
            </w:r>
            <w:r>
              <w:rPr>
                <w:rFonts w:ascii="宋体" w:hAnsi="宋体" w:hint="eastAsia"/>
                <w:bCs/>
                <w:color w:val="000000"/>
              </w:rPr>
              <w:t>国际海上货运代理服务市场：</w:t>
            </w:r>
          </w:p>
          <w:p w14:paraId="62866E36" w14:textId="1CEFB1E9" w:rsidR="00E3693D" w:rsidRDefault="007F77A9" w:rsidP="007F77A9">
            <w:pPr>
              <w:adjustRightInd w:val="0"/>
              <w:spacing w:after="0"/>
              <w:jc w:val="left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Cs/>
                <w:color w:val="000000"/>
              </w:rPr>
              <w:t>马士基香港（通过其关联方）：0-5%；中集世联达：5-10%</w:t>
            </w:r>
          </w:p>
          <w:p w14:paraId="097DD1C0" w14:textId="6B24C833" w:rsidR="007316E5" w:rsidRPr="00896E9A" w:rsidRDefault="007316E5" w:rsidP="00B03C6F">
            <w:pPr>
              <w:adjustRightInd w:val="0"/>
              <w:spacing w:after="0"/>
              <w:jc w:val="left"/>
              <w:rPr>
                <w:rFonts w:ascii="宋体" w:hAnsi="宋体"/>
                <w:b/>
                <w:color w:val="000000"/>
              </w:rPr>
            </w:pPr>
            <w:r w:rsidRPr="00896E9A">
              <w:rPr>
                <w:rFonts w:ascii="宋体" w:hAnsi="宋体" w:hint="eastAsia"/>
                <w:b/>
                <w:color w:val="000000"/>
              </w:rPr>
              <w:t>纵向关联：</w:t>
            </w:r>
          </w:p>
          <w:p w14:paraId="3E1A9576" w14:textId="21178AF2" w:rsidR="003A35AA" w:rsidRDefault="00836352" w:rsidP="00D312BE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上游：</w:t>
            </w:r>
            <w:r w:rsidR="00877EC9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2025年天津港区</w:t>
            </w:r>
            <w:r w:rsidR="00AB73B3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集装箱</w:t>
            </w:r>
            <w:r w:rsidR="00877EC9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堆场服务市场：</w:t>
            </w:r>
          </w:p>
          <w:p w14:paraId="4F1602BD" w14:textId="15CEEB2E" w:rsidR="00272C17" w:rsidRDefault="00806EBA" w:rsidP="00D312BE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中集世联达</w:t>
            </w:r>
            <w:r w:rsidR="00272C17"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  <w:r w:rsidR="00AB73B3">
              <w:rPr>
                <w:rFonts w:ascii="宋体" w:hAnsi="宋体" w:hint="eastAsia"/>
                <w:bCs/>
                <w:color w:val="000000"/>
                <w:lang w:eastAsia="zh-CN"/>
              </w:rPr>
              <w:t>5-10%</w:t>
            </w:r>
          </w:p>
          <w:p w14:paraId="6E4EB446" w14:textId="11112513" w:rsidR="00877EC9" w:rsidRDefault="00877EC9" w:rsidP="00D312BE">
            <w:pPr>
              <w:pStyle w:val="a0"/>
              <w:adjustRightInd w:val="0"/>
              <w:spacing w:after="0"/>
              <w:rPr>
                <w:rFonts w:ascii="宋体" w:hAnsi="宋体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下游：2024年</w:t>
            </w:r>
            <w:r w:rsidR="00EF5414">
              <w:rPr>
                <w:rFonts w:ascii="宋体" w:hAnsi="宋体" w:hint="eastAsia"/>
                <w:bCs/>
                <w:color w:val="000000"/>
                <w:lang w:eastAsia="zh-CN"/>
              </w:rPr>
              <w:t>中国境内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国际海上货运代理服务市场</w:t>
            </w:r>
          </w:p>
          <w:p w14:paraId="77AAE737" w14:textId="147DBE2B" w:rsidR="00877EC9" w:rsidRDefault="00272C17" w:rsidP="00D312BE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马士基香港</w:t>
            </w:r>
            <w:r w:rsidR="00F16258">
              <w:rPr>
                <w:rFonts w:ascii="宋体" w:hAnsi="宋体" w:hint="eastAsia"/>
                <w:bCs/>
                <w:color w:val="000000"/>
                <w:lang w:eastAsia="zh-CN"/>
              </w:rPr>
              <w:t>（通过其关联方）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  <w:r w:rsidR="00E3693D"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；中集世联达：</w:t>
            </w:r>
            <w:r w:rsidR="00E3693D"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</w:p>
          <w:p w14:paraId="6AA291DF" w14:textId="49E67B9E" w:rsidR="007161EB" w:rsidRDefault="007161EB" w:rsidP="007161EB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上游：2025年天津港区</w:t>
            </w:r>
            <w:r w:rsidR="00AB73B3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集装箱</w:t>
            </w: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堆场服务市场：</w:t>
            </w:r>
          </w:p>
          <w:p w14:paraId="01CDEEEB" w14:textId="7920F19E" w:rsidR="00D00FC4" w:rsidRDefault="0071195F" w:rsidP="007161EB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中集世联达：</w:t>
            </w:r>
            <w:r w:rsidR="00344800"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</w:p>
          <w:p w14:paraId="70A4501E" w14:textId="4A86FB4B" w:rsidR="007161EB" w:rsidRDefault="007161EB" w:rsidP="007161EB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下游：202</w:t>
            </w:r>
            <w:r w:rsidR="0014652C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5</w:t>
            </w: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年</w:t>
            </w:r>
            <w:r w:rsidR="00BE66E2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以天津港区为起点</w:t>
            </w:r>
            <w:r w:rsidR="00B70D96">
              <w:rPr>
                <w:rFonts w:ascii="宋体" w:hAnsi="宋体" w:hint="eastAsia"/>
                <w:bCs/>
                <w:color w:val="000000"/>
                <w:lang w:eastAsia="zh-CN"/>
              </w:rPr>
              <w:t>和</w:t>
            </w:r>
            <w:r w:rsidR="00BE66E2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终点的不特定</w:t>
            </w:r>
            <w:r w:rsidR="00311CC6">
              <w:rPr>
                <w:rFonts w:ascii="宋体" w:hAnsi="宋体" w:hint="eastAsia"/>
                <w:bCs/>
                <w:color w:val="000000"/>
                <w:lang w:eastAsia="zh-CN"/>
              </w:rPr>
              <w:t>国际</w:t>
            </w:r>
            <w:r w:rsidR="00BE66E2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航线</w:t>
            </w:r>
            <w:r w:rsidR="00EF2B07">
              <w:rPr>
                <w:rFonts w:ascii="宋体" w:hAnsi="宋体" w:hint="eastAsia"/>
                <w:bCs/>
                <w:color w:val="000000"/>
                <w:lang w:eastAsia="zh-CN"/>
              </w:rPr>
              <w:t>集合</w:t>
            </w:r>
            <w:r w:rsidR="00311CC6">
              <w:rPr>
                <w:rFonts w:ascii="宋体" w:hAnsi="宋体" w:hint="eastAsia"/>
                <w:bCs/>
                <w:color w:val="000000"/>
                <w:lang w:eastAsia="zh-CN"/>
              </w:rPr>
              <w:t>的国际集装箱班轮运输</w:t>
            </w:r>
            <w:r w:rsidR="002423A2">
              <w:rPr>
                <w:rFonts w:ascii="宋体" w:hAnsi="宋体" w:hint="eastAsia"/>
                <w:bCs/>
                <w:color w:val="000000"/>
                <w:lang w:eastAsia="zh-CN"/>
              </w:rPr>
              <w:t>服务</w:t>
            </w:r>
            <w:r w:rsidR="00311CC6">
              <w:rPr>
                <w:rFonts w:ascii="宋体" w:hAnsi="宋体" w:hint="eastAsia"/>
                <w:bCs/>
                <w:color w:val="000000"/>
                <w:lang w:eastAsia="zh-CN"/>
              </w:rPr>
              <w:t>市场</w:t>
            </w:r>
            <w:r w:rsidR="002E59F0"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</w:p>
          <w:p w14:paraId="0514E001" w14:textId="77777777" w:rsidR="00836352" w:rsidRDefault="00D00FC4" w:rsidP="00D312BE">
            <w:pPr>
              <w:pStyle w:val="a0"/>
              <w:adjustRightInd w:val="0"/>
              <w:spacing w:after="0"/>
              <w:rPr>
                <w:rFonts w:ascii="宋体" w:hAnsi="宋体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马士基香港</w:t>
            </w:r>
            <w:r w:rsidR="00301C48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（通过其关联方）</w:t>
            </w: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：</w:t>
            </w:r>
            <w:r w:rsidR="00AB73B3">
              <w:rPr>
                <w:rFonts w:ascii="宋体" w:hAnsi="宋体" w:hint="eastAsia"/>
                <w:bCs/>
                <w:color w:val="000000"/>
                <w:lang w:eastAsia="zh-CN"/>
              </w:rPr>
              <w:t>5-10%</w:t>
            </w:r>
          </w:p>
          <w:p w14:paraId="7842D67A" w14:textId="57A9009B" w:rsidR="007F77A9" w:rsidRDefault="007F77A9" w:rsidP="007F77A9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上游：</w:t>
            </w:r>
            <w:r w:rsidR="00311CC6"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2025年</w:t>
            </w:r>
            <w:r w:rsidR="00311CC6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以天津港区为起点</w:t>
            </w:r>
            <w:r w:rsidR="00B70D96">
              <w:rPr>
                <w:rFonts w:ascii="宋体" w:hAnsi="宋体" w:hint="eastAsia"/>
                <w:bCs/>
                <w:color w:val="000000"/>
                <w:lang w:eastAsia="zh-CN"/>
              </w:rPr>
              <w:t>和</w:t>
            </w:r>
            <w:r w:rsidR="00311CC6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终点的不特定</w:t>
            </w:r>
            <w:r w:rsidR="00311CC6">
              <w:rPr>
                <w:rFonts w:ascii="宋体" w:hAnsi="宋体" w:hint="eastAsia"/>
                <w:bCs/>
                <w:color w:val="000000"/>
                <w:lang w:eastAsia="zh-CN"/>
              </w:rPr>
              <w:t>国际</w:t>
            </w:r>
            <w:r w:rsidR="00311CC6" w:rsidRPr="00BE66E2">
              <w:rPr>
                <w:rFonts w:ascii="宋体" w:hAnsi="宋体" w:hint="eastAsia"/>
                <w:bCs/>
                <w:color w:val="000000"/>
                <w:lang w:eastAsia="zh-CN"/>
              </w:rPr>
              <w:t>航线</w:t>
            </w:r>
            <w:r w:rsidR="00EF2B07">
              <w:rPr>
                <w:rFonts w:ascii="宋体" w:hAnsi="宋体" w:hint="eastAsia"/>
                <w:bCs/>
                <w:color w:val="000000"/>
                <w:lang w:eastAsia="zh-CN"/>
              </w:rPr>
              <w:t>集合</w:t>
            </w:r>
            <w:r w:rsidR="00311CC6">
              <w:rPr>
                <w:rFonts w:ascii="宋体" w:hAnsi="宋体" w:hint="eastAsia"/>
                <w:bCs/>
                <w:color w:val="000000"/>
                <w:lang w:eastAsia="zh-CN"/>
              </w:rPr>
              <w:t>的国际集装箱班轮运输</w:t>
            </w:r>
            <w:r w:rsidR="002423A2">
              <w:rPr>
                <w:rFonts w:ascii="宋体" w:hAnsi="宋体" w:hint="eastAsia"/>
                <w:bCs/>
                <w:color w:val="000000"/>
                <w:lang w:eastAsia="zh-CN"/>
              </w:rPr>
              <w:t>服务</w:t>
            </w:r>
            <w:r w:rsidR="00311CC6">
              <w:rPr>
                <w:rFonts w:ascii="宋体" w:hAnsi="宋体" w:hint="eastAsia"/>
                <w:bCs/>
                <w:color w:val="000000"/>
                <w:lang w:eastAsia="zh-CN"/>
              </w:rPr>
              <w:t>市场</w:t>
            </w:r>
            <w:r w:rsidR="00340353">
              <w:rPr>
                <w:rFonts w:ascii="宋体" w:hAnsi="宋体" w:hint="eastAsia"/>
                <w:bCs/>
                <w:color w:val="000000"/>
                <w:lang w:eastAsia="zh-CN"/>
              </w:rPr>
              <w:t>：</w:t>
            </w:r>
          </w:p>
          <w:p w14:paraId="372B0912" w14:textId="77777777" w:rsidR="007F77A9" w:rsidRDefault="007F77A9" w:rsidP="007F77A9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马士基香港（通过其关联方）：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如上所述</w:t>
            </w:r>
          </w:p>
          <w:p w14:paraId="0907D008" w14:textId="59C80E63" w:rsidR="007F77A9" w:rsidRDefault="007F77A9" w:rsidP="007F77A9">
            <w:pPr>
              <w:pStyle w:val="a0"/>
              <w:adjustRightInd w:val="0"/>
              <w:spacing w:after="0"/>
              <w:rPr>
                <w:rFonts w:ascii="宋体" w:hAnsi="宋体"/>
                <w:bCs/>
                <w:color w:val="000000"/>
                <w:lang w:eastAsia="zh-CN"/>
              </w:rPr>
            </w:pPr>
            <w:r>
              <w:rPr>
                <w:rFonts w:ascii="宋体" w:hAnsi="宋体" w:cs="Times New Roman" w:hint="eastAsia"/>
                <w:bCs/>
                <w:color w:val="000000"/>
                <w:lang w:eastAsia="zh-CN"/>
              </w:rPr>
              <w:t>下游：2024年</w:t>
            </w:r>
            <w:r w:rsidR="00EF5414">
              <w:rPr>
                <w:rFonts w:ascii="宋体" w:hAnsi="宋体" w:hint="eastAsia"/>
                <w:bCs/>
                <w:color w:val="000000"/>
                <w:lang w:eastAsia="zh-CN"/>
              </w:rPr>
              <w:t>中国境内</w:t>
            </w:r>
            <w:r>
              <w:rPr>
                <w:rFonts w:ascii="宋体" w:hAnsi="宋体" w:hint="eastAsia"/>
                <w:bCs/>
                <w:color w:val="000000"/>
                <w:lang w:eastAsia="zh-CN"/>
              </w:rPr>
              <w:t>国际海上货运代理服务市场：</w:t>
            </w:r>
          </w:p>
          <w:p w14:paraId="23E3B604" w14:textId="0BC48A3E" w:rsidR="00636490" w:rsidRPr="00636490" w:rsidRDefault="007F77A9" w:rsidP="007F77A9">
            <w:pPr>
              <w:pStyle w:val="a0"/>
              <w:adjustRightInd w:val="0"/>
              <w:spacing w:after="0"/>
              <w:rPr>
                <w:rFonts w:ascii="宋体" w:hAnsi="宋体" w:cs="Times New Roman"/>
                <w:bCs/>
                <w:color w:val="000000"/>
                <w:lang w:eastAsia="zh-CN"/>
              </w:rPr>
            </w:pPr>
            <w:r>
              <w:rPr>
                <w:rFonts w:ascii="宋体" w:hAnsi="宋体" w:hint="eastAsia"/>
                <w:bCs/>
                <w:color w:val="000000"/>
                <w:lang w:eastAsia="zh-CN"/>
              </w:rPr>
              <w:t>马士基香港（通过其关联方）：如上所述；中集世联达：如上所述</w:t>
            </w:r>
          </w:p>
        </w:tc>
      </w:tr>
    </w:tbl>
    <w:p w14:paraId="02EFBF07" w14:textId="77777777" w:rsidR="003A35AA" w:rsidRDefault="003A35AA" w:rsidP="00CB5A7D">
      <w:pPr>
        <w:pStyle w:val="a0"/>
        <w:rPr>
          <w:rFonts w:ascii="宋体" w:hAnsi="宋体" w:cs="宋体"/>
          <w:bCs/>
          <w:color w:val="000000"/>
          <w:sz w:val="28"/>
          <w:szCs w:val="28"/>
          <w:lang w:eastAsia="zh-CN"/>
        </w:rPr>
      </w:pPr>
    </w:p>
    <w:sectPr w:rsidR="003A35AA"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B3EC" w14:textId="77777777" w:rsidR="006F2333" w:rsidRDefault="006F2333" w:rsidP="0069392E">
      <w:pPr>
        <w:spacing w:after="0"/>
      </w:pPr>
      <w:r>
        <w:separator/>
      </w:r>
    </w:p>
  </w:endnote>
  <w:endnote w:type="continuationSeparator" w:id="0">
    <w:p w14:paraId="12FCE0D1" w14:textId="77777777" w:rsidR="006F2333" w:rsidRDefault="006F2333" w:rsidP="006939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9499" w14:textId="77777777" w:rsidR="006F2333" w:rsidRDefault="006F2333" w:rsidP="0069392E">
      <w:pPr>
        <w:spacing w:after="0"/>
      </w:pPr>
      <w:r>
        <w:separator/>
      </w:r>
    </w:p>
  </w:footnote>
  <w:footnote w:type="continuationSeparator" w:id="0">
    <w:p w14:paraId="37AB83E1" w14:textId="77777777" w:rsidR="006F2333" w:rsidRDefault="006F2333" w:rsidP="006939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left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left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left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left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left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left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left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918712564">
    <w:abstractNumId w:val="2"/>
  </w:num>
  <w:num w:numId="2" w16cid:durableId="1320307868">
    <w:abstractNumId w:val="0"/>
  </w:num>
  <w:num w:numId="3" w16cid:durableId="1826898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CC"/>
    <w:rsid w:val="000024FF"/>
    <w:rsid w:val="000027BD"/>
    <w:rsid w:val="000116AF"/>
    <w:rsid w:val="00011FDA"/>
    <w:rsid w:val="00012D50"/>
    <w:rsid w:val="000150B7"/>
    <w:rsid w:val="00021AB2"/>
    <w:rsid w:val="00021C80"/>
    <w:rsid w:val="00021CA6"/>
    <w:rsid w:val="000326C8"/>
    <w:rsid w:val="00033997"/>
    <w:rsid w:val="00041C40"/>
    <w:rsid w:val="0004292A"/>
    <w:rsid w:val="000467AA"/>
    <w:rsid w:val="00046CB9"/>
    <w:rsid w:val="000517FC"/>
    <w:rsid w:val="00062616"/>
    <w:rsid w:val="00062687"/>
    <w:rsid w:val="000650EF"/>
    <w:rsid w:val="00065E9C"/>
    <w:rsid w:val="000736AC"/>
    <w:rsid w:val="00073A96"/>
    <w:rsid w:val="00073E6B"/>
    <w:rsid w:val="00075A86"/>
    <w:rsid w:val="0007723F"/>
    <w:rsid w:val="00077D60"/>
    <w:rsid w:val="000817DD"/>
    <w:rsid w:val="00083590"/>
    <w:rsid w:val="000873FE"/>
    <w:rsid w:val="00092F4E"/>
    <w:rsid w:val="000932ED"/>
    <w:rsid w:val="00093DED"/>
    <w:rsid w:val="000968AC"/>
    <w:rsid w:val="000A4A6C"/>
    <w:rsid w:val="000A7D80"/>
    <w:rsid w:val="000B0BF0"/>
    <w:rsid w:val="000B25C4"/>
    <w:rsid w:val="000B4840"/>
    <w:rsid w:val="000B58E5"/>
    <w:rsid w:val="000B653C"/>
    <w:rsid w:val="000B6FF3"/>
    <w:rsid w:val="000C155E"/>
    <w:rsid w:val="000C6953"/>
    <w:rsid w:val="000D07D0"/>
    <w:rsid w:val="000D1074"/>
    <w:rsid w:val="000E0B95"/>
    <w:rsid w:val="000E14F9"/>
    <w:rsid w:val="000E29A9"/>
    <w:rsid w:val="000E3A81"/>
    <w:rsid w:val="000E7DB1"/>
    <w:rsid w:val="000F5853"/>
    <w:rsid w:val="001000D6"/>
    <w:rsid w:val="00107E19"/>
    <w:rsid w:val="00111171"/>
    <w:rsid w:val="001120E5"/>
    <w:rsid w:val="00113AFF"/>
    <w:rsid w:val="00115F62"/>
    <w:rsid w:val="00123E26"/>
    <w:rsid w:val="00142471"/>
    <w:rsid w:val="00142B62"/>
    <w:rsid w:val="00142D14"/>
    <w:rsid w:val="00142EFE"/>
    <w:rsid w:val="00145B05"/>
    <w:rsid w:val="00146387"/>
    <w:rsid w:val="0014652C"/>
    <w:rsid w:val="00154329"/>
    <w:rsid w:val="001639D8"/>
    <w:rsid w:val="00170CBB"/>
    <w:rsid w:val="00173346"/>
    <w:rsid w:val="001738D7"/>
    <w:rsid w:val="001752DB"/>
    <w:rsid w:val="00175B68"/>
    <w:rsid w:val="00176FB3"/>
    <w:rsid w:val="00186A05"/>
    <w:rsid w:val="00193E5E"/>
    <w:rsid w:val="001965E2"/>
    <w:rsid w:val="001A2622"/>
    <w:rsid w:val="001B4EA1"/>
    <w:rsid w:val="001B6007"/>
    <w:rsid w:val="001C0D17"/>
    <w:rsid w:val="001C30A1"/>
    <w:rsid w:val="001C5840"/>
    <w:rsid w:val="001C6249"/>
    <w:rsid w:val="001C70CD"/>
    <w:rsid w:val="001D1555"/>
    <w:rsid w:val="001D3830"/>
    <w:rsid w:val="001D6168"/>
    <w:rsid w:val="001E03D6"/>
    <w:rsid w:val="001E0F1F"/>
    <w:rsid w:val="001E0F27"/>
    <w:rsid w:val="001E75E7"/>
    <w:rsid w:val="001F0FA1"/>
    <w:rsid w:val="001F18E4"/>
    <w:rsid w:val="001F346E"/>
    <w:rsid w:val="001F35AA"/>
    <w:rsid w:val="001F367B"/>
    <w:rsid w:val="001F3B24"/>
    <w:rsid w:val="001F6B03"/>
    <w:rsid w:val="00205198"/>
    <w:rsid w:val="0022381E"/>
    <w:rsid w:val="00224A7C"/>
    <w:rsid w:val="002278D1"/>
    <w:rsid w:val="002315EA"/>
    <w:rsid w:val="00231665"/>
    <w:rsid w:val="00233737"/>
    <w:rsid w:val="00234A31"/>
    <w:rsid w:val="002403B5"/>
    <w:rsid w:val="002423A2"/>
    <w:rsid w:val="00245281"/>
    <w:rsid w:val="00250E61"/>
    <w:rsid w:val="00252AD9"/>
    <w:rsid w:val="00256402"/>
    <w:rsid w:val="00261C03"/>
    <w:rsid w:val="00261F94"/>
    <w:rsid w:val="00266704"/>
    <w:rsid w:val="00266ED1"/>
    <w:rsid w:val="00267941"/>
    <w:rsid w:val="00267E37"/>
    <w:rsid w:val="00272C17"/>
    <w:rsid w:val="00281C5F"/>
    <w:rsid w:val="0028242D"/>
    <w:rsid w:val="002834BE"/>
    <w:rsid w:val="00285604"/>
    <w:rsid w:val="00287E91"/>
    <w:rsid w:val="00291652"/>
    <w:rsid w:val="00291997"/>
    <w:rsid w:val="00295D2E"/>
    <w:rsid w:val="002964A1"/>
    <w:rsid w:val="002A25F2"/>
    <w:rsid w:val="002A7812"/>
    <w:rsid w:val="002A7C26"/>
    <w:rsid w:val="002C1CB1"/>
    <w:rsid w:val="002C7016"/>
    <w:rsid w:val="002C7FA0"/>
    <w:rsid w:val="002D58A6"/>
    <w:rsid w:val="002E59F0"/>
    <w:rsid w:val="002F09A7"/>
    <w:rsid w:val="002F3142"/>
    <w:rsid w:val="002F5271"/>
    <w:rsid w:val="002F6569"/>
    <w:rsid w:val="002F7D47"/>
    <w:rsid w:val="003007E7"/>
    <w:rsid w:val="00300DC6"/>
    <w:rsid w:val="00301C48"/>
    <w:rsid w:val="00304904"/>
    <w:rsid w:val="00306B88"/>
    <w:rsid w:val="00310488"/>
    <w:rsid w:val="00311263"/>
    <w:rsid w:val="00311CC6"/>
    <w:rsid w:val="00323550"/>
    <w:rsid w:val="003344FD"/>
    <w:rsid w:val="00340353"/>
    <w:rsid w:val="0034107F"/>
    <w:rsid w:val="003422D6"/>
    <w:rsid w:val="00343C27"/>
    <w:rsid w:val="00344800"/>
    <w:rsid w:val="00344D27"/>
    <w:rsid w:val="00352B13"/>
    <w:rsid w:val="003530D4"/>
    <w:rsid w:val="00353900"/>
    <w:rsid w:val="0035604C"/>
    <w:rsid w:val="00357085"/>
    <w:rsid w:val="00371332"/>
    <w:rsid w:val="003730A1"/>
    <w:rsid w:val="0037631A"/>
    <w:rsid w:val="00380F36"/>
    <w:rsid w:val="003850D4"/>
    <w:rsid w:val="00385F00"/>
    <w:rsid w:val="003866EF"/>
    <w:rsid w:val="00393D75"/>
    <w:rsid w:val="003A20D5"/>
    <w:rsid w:val="003A2818"/>
    <w:rsid w:val="003A35AA"/>
    <w:rsid w:val="003A4565"/>
    <w:rsid w:val="003A4586"/>
    <w:rsid w:val="003A5A35"/>
    <w:rsid w:val="003A7A36"/>
    <w:rsid w:val="003B21C1"/>
    <w:rsid w:val="003B2740"/>
    <w:rsid w:val="003B27EC"/>
    <w:rsid w:val="003B2F86"/>
    <w:rsid w:val="003B4439"/>
    <w:rsid w:val="003B4C9E"/>
    <w:rsid w:val="003B7CBC"/>
    <w:rsid w:val="003C3456"/>
    <w:rsid w:val="003C489C"/>
    <w:rsid w:val="003D516F"/>
    <w:rsid w:val="003E0DD8"/>
    <w:rsid w:val="003E3B57"/>
    <w:rsid w:val="003E3BC4"/>
    <w:rsid w:val="003E4CE4"/>
    <w:rsid w:val="003E73DB"/>
    <w:rsid w:val="003F2964"/>
    <w:rsid w:val="003F3359"/>
    <w:rsid w:val="003F50B0"/>
    <w:rsid w:val="003F5E57"/>
    <w:rsid w:val="0040385C"/>
    <w:rsid w:val="004070D4"/>
    <w:rsid w:val="00410914"/>
    <w:rsid w:val="004119F5"/>
    <w:rsid w:val="00413DFD"/>
    <w:rsid w:val="004166B2"/>
    <w:rsid w:val="00417BFE"/>
    <w:rsid w:val="004203EF"/>
    <w:rsid w:val="00420400"/>
    <w:rsid w:val="00426605"/>
    <w:rsid w:val="00426885"/>
    <w:rsid w:val="00427E52"/>
    <w:rsid w:val="00431E3C"/>
    <w:rsid w:val="004425B0"/>
    <w:rsid w:val="00446104"/>
    <w:rsid w:val="00446353"/>
    <w:rsid w:val="004468BD"/>
    <w:rsid w:val="00446B58"/>
    <w:rsid w:val="0044739B"/>
    <w:rsid w:val="00447545"/>
    <w:rsid w:val="00453823"/>
    <w:rsid w:val="0046786A"/>
    <w:rsid w:val="00467A6B"/>
    <w:rsid w:val="004721BD"/>
    <w:rsid w:val="0047365A"/>
    <w:rsid w:val="00484863"/>
    <w:rsid w:val="004861B2"/>
    <w:rsid w:val="004949B0"/>
    <w:rsid w:val="0049707A"/>
    <w:rsid w:val="004973DB"/>
    <w:rsid w:val="0049771A"/>
    <w:rsid w:val="004A16E9"/>
    <w:rsid w:val="004A27EC"/>
    <w:rsid w:val="004A4BF1"/>
    <w:rsid w:val="004A5892"/>
    <w:rsid w:val="004B1665"/>
    <w:rsid w:val="004C085D"/>
    <w:rsid w:val="004C236A"/>
    <w:rsid w:val="004C3420"/>
    <w:rsid w:val="004C707C"/>
    <w:rsid w:val="004D018B"/>
    <w:rsid w:val="004D124C"/>
    <w:rsid w:val="004D1F84"/>
    <w:rsid w:val="004D31E2"/>
    <w:rsid w:val="004D4435"/>
    <w:rsid w:val="004E3A16"/>
    <w:rsid w:val="004F6121"/>
    <w:rsid w:val="004F6E15"/>
    <w:rsid w:val="005022AF"/>
    <w:rsid w:val="0051217F"/>
    <w:rsid w:val="00512A53"/>
    <w:rsid w:val="00513933"/>
    <w:rsid w:val="00523905"/>
    <w:rsid w:val="00524CBD"/>
    <w:rsid w:val="005251B9"/>
    <w:rsid w:val="00530BB4"/>
    <w:rsid w:val="00530FC8"/>
    <w:rsid w:val="00533201"/>
    <w:rsid w:val="00535878"/>
    <w:rsid w:val="00537F88"/>
    <w:rsid w:val="00545A47"/>
    <w:rsid w:val="00552D36"/>
    <w:rsid w:val="00553801"/>
    <w:rsid w:val="00564671"/>
    <w:rsid w:val="00565294"/>
    <w:rsid w:val="0057200D"/>
    <w:rsid w:val="0057425C"/>
    <w:rsid w:val="00583BE9"/>
    <w:rsid w:val="00591CEC"/>
    <w:rsid w:val="00596E3F"/>
    <w:rsid w:val="005A0B43"/>
    <w:rsid w:val="005A3246"/>
    <w:rsid w:val="005B0CEB"/>
    <w:rsid w:val="005B18A3"/>
    <w:rsid w:val="005B23BB"/>
    <w:rsid w:val="005B278A"/>
    <w:rsid w:val="005B58D2"/>
    <w:rsid w:val="005B7E2F"/>
    <w:rsid w:val="005D277C"/>
    <w:rsid w:val="005D6D17"/>
    <w:rsid w:val="005E6224"/>
    <w:rsid w:val="005E7B2F"/>
    <w:rsid w:val="005F2414"/>
    <w:rsid w:val="005F36E7"/>
    <w:rsid w:val="005F5280"/>
    <w:rsid w:val="005F572C"/>
    <w:rsid w:val="005F7223"/>
    <w:rsid w:val="0060413B"/>
    <w:rsid w:val="00605EE6"/>
    <w:rsid w:val="0060669E"/>
    <w:rsid w:val="006123E2"/>
    <w:rsid w:val="00614EBB"/>
    <w:rsid w:val="0061583E"/>
    <w:rsid w:val="00615BC2"/>
    <w:rsid w:val="00616ABC"/>
    <w:rsid w:val="00617BCA"/>
    <w:rsid w:val="00622DB6"/>
    <w:rsid w:val="00626E25"/>
    <w:rsid w:val="006277F9"/>
    <w:rsid w:val="00632159"/>
    <w:rsid w:val="00636490"/>
    <w:rsid w:val="00645B6A"/>
    <w:rsid w:val="00652C09"/>
    <w:rsid w:val="00655225"/>
    <w:rsid w:val="00664174"/>
    <w:rsid w:val="006643EA"/>
    <w:rsid w:val="00672862"/>
    <w:rsid w:val="0067348D"/>
    <w:rsid w:val="006745A9"/>
    <w:rsid w:val="00682729"/>
    <w:rsid w:val="00686DD4"/>
    <w:rsid w:val="00690F30"/>
    <w:rsid w:val="006910C5"/>
    <w:rsid w:val="00692B6F"/>
    <w:rsid w:val="0069392E"/>
    <w:rsid w:val="006967C6"/>
    <w:rsid w:val="006A520B"/>
    <w:rsid w:val="006A7D27"/>
    <w:rsid w:val="006B008F"/>
    <w:rsid w:val="006B4541"/>
    <w:rsid w:val="006C2889"/>
    <w:rsid w:val="006C3A72"/>
    <w:rsid w:val="006C7A86"/>
    <w:rsid w:val="006D1E2B"/>
    <w:rsid w:val="006E0D98"/>
    <w:rsid w:val="006E21DD"/>
    <w:rsid w:val="006E3180"/>
    <w:rsid w:val="006E4358"/>
    <w:rsid w:val="006E6E26"/>
    <w:rsid w:val="006E70AA"/>
    <w:rsid w:val="006F2333"/>
    <w:rsid w:val="006F2E54"/>
    <w:rsid w:val="006F5A91"/>
    <w:rsid w:val="006F7A98"/>
    <w:rsid w:val="007025DE"/>
    <w:rsid w:val="007029CB"/>
    <w:rsid w:val="00703C73"/>
    <w:rsid w:val="00705778"/>
    <w:rsid w:val="0071195F"/>
    <w:rsid w:val="0071373B"/>
    <w:rsid w:val="007161EB"/>
    <w:rsid w:val="007166C4"/>
    <w:rsid w:val="00720471"/>
    <w:rsid w:val="00720F7B"/>
    <w:rsid w:val="00721FEC"/>
    <w:rsid w:val="00725633"/>
    <w:rsid w:val="00726B19"/>
    <w:rsid w:val="00727BD0"/>
    <w:rsid w:val="007303E4"/>
    <w:rsid w:val="007316E5"/>
    <w:rsid w:val="00732480"/>
    <w:rsid w:val="00736333"/>
    <w:rsid w:val="007373F0"/>
    <w:rsid w:val="00737C00"/>
    <w:rsid w:val="007417D9"/>
    <w:rsid w:val="00742AFE"/>
    <w:rsid w:val="00742EDF"/>
    <w:rsid w:val="007460D3"/>
    <w:rsid w:val="00751420"/>
    <w:rsid w:val="00752F8F"/>
    <w:rsid w:val="00754EF9"/>
    <w:rsid w:val="0076225D"/>
    <w:rsid w:val="0076578F"/>
    <w:rsid w:val="007674D7"/>
    <w:rsid w:val="00772298"/>
    <w:rsid w:val="00776DC7"/>
    <w:rsid w:val="00790A6A"/>
    <w:rsid w:val="00794062"/>
    <w:rsid w:val="00794682"/>
    <w:rsid w:val="0079563D"/>
    <w:rsid w:val="00797584"/>
    <w:rsid w:val="0079797A"/>
    <w:rsid w:val="007A0097"/>
    <w:rsid w:val="007A2D94"/>
    <w:rsid w:val="007A5D60"/>
    <w:rsid w:val="007B0419"/>
    <w:rsid w:val="007B04C7"/>
    <w:rsid w:val="007B07D3"/>
    <w:rsid w:val="007B4380"/>
    <w:rsid w:val="007B651A"/>
    <w:rsid w:val="007B6ED8"/>
    <w:rsid w:val="007B75E4"/>
    <w:rsid w:val="007C0A20"/>
    <w:rsid w:val="007C123F"/>
    <w:rsid w:val="007C7BC7"/>
    <w:rsid w:val="007D372D"/>
    <w:rsid w:val="007E2608"/>
    <w:rsid w:val="007E367D"/>
    <w:rsid w:val="007E5406"/>
    <w:rsid w:val="007F1726"/>
    <w:rsid w:val="007F24B3"/>
    <w:rsid w:val="007F32C3"/>
    <w:rsid w:val="007F5757"/>
    <w:rsid w:val="007F5F20"/>
    <w:rsid w:val="007F647E"/>
    <w:rsid w:val="007F77A9"/>
    <w:rsid w:val="0080019C"/>
    <w:rsid w:val="0080200E"/>
    <w:rsid w:val="00803A33"/>
    <w:rsid w:val="008051ED"/>
    <w:rsid w:val="00806464"/>
    <w:rsid w:val="00806EBA"/>
    <w:rsid w:val="00811775"/>
    <w:rsid w:val="00814473"/>
    <w:rsid w:val="00816BDB"/>
    <w:rsid w:val="00822439"/>
    <w:rsid w:val="008248B2"/>
    <w:rsid w:val="0082545D"/>
    <w:rsid w:val="00827A8F"/>
    <w:rsid w:val="0083017E"/>
    <w:rsid w:val="0083372D"/>
    <w:rsid w:val="008346A8"/>
    <w:rsid w:val="00834D88"/>
    <w:rsid w:val="0083507E"/>
    <w:rsid w:val="00836352"/>
    <w:rsid w:val="00837965"/>
    <w:rsid w:val="008418F4"/>
    <w:rsid w:val="008440F0"/>
    <w:rsid w:val="00864085"/>
    <w:rsid w:val="008711B6"/>
    <w:rsid w:val="00873435"/>
    <w:rsid w:val="00877EC9"/>
    <w:rsid w:val="00877FAE"/>
    <w:rsid w:val="008803D0"/>
    <w:rsid w:val="00880F24"/>
    <w:rsid w:val="008836AF"/>
    <w:rsid w:val="00885C9B"/>
    <w:rsid w:val="00891D05"/>
    <w:rsid w:val="00893879"/>
    <w:rsid w:val="00895D57"/>
    <w:rsid w:val="00896E9A"/>
    <w:rsid w:val="008A0943"/>
    <w:rsid w:val="008A6222"/>
    <w:rsid w:val="008B2172"/>
    <w:rsid w:val="008D4ED8"/>
    <w:rsid w:val="008D644E"/>
    <w:rsid w:val="008E1A80"/>
    <w:rsid w:val="008E20EA"/>
    <w:rsid w:val="008E4A5E"/>
    <w:rsid w:val="008E5BCA"/>
    <w:rsid w:val="008F090E"/>
    <w:rsid w:val="009022B0"/>
    <w:rsid w:val="00905F4A"/>
    <w:rsid w:val="00907BC1"/>
    <w:rsid w:val="00913572"/>
    <w:rsid w:val="00913AAA"/>
    <w:rsid w:val="009145E4"/>
    <w:rsid w:val="00917288"/>
    <w:rsid w:val="00926651"/>
    <w:rsid w:val="009301D9"/>
    <w:rsid w:val="00940678"/>
    <w:rsid w:val="00942E94"/>
    <w:rsid w:val="0094346F"/>
    <w:rsid w:val="00953187"/>
    <w:rsid w:val="009551E9"/>
    <w:rsid w:val="00955A58"/>
    <w:rsid w:val="00957589"/>
    <w:rsid w:val="0096333E"/>
    <w:rsid w:val="009668EC"/>
    <w:rsid w:val="00972203"/>
    <w:rsid w:val="0097755D"/>
    <w:rsid w:val="00977C3B"/>
    <w:rsid w:val="009901B5"/>
    <w:rsid w:val="0099661B"/>
    <w:rsid w:val="009A0BCC"/>
    <w:rsid w:val="009A2EFA"/>
    <w:rsid w:val="009A57C5"/>
    <w:rsid w:val="009A6CD4"/>
    <w:rsid w:val="009A6E66"/>
    <w:rsid w:val="009B0211"/>
    <w:rsid w:val="009B1B4F"/>
    <w:rsid w:val="009B23D0"/>
    <w:rsid w:val="009B3771"/>
    <w:rsid w:val="009B5343"/>
    <w:rsid w:val="009B5E73"/>
    <w:rsid w:val="009C0CBC"/>
    <w:rsid w:val="009C142D"/>
    <w:rsid w:val="009C16F8"/>
    <w:rsid w:val="009C1DE7"/>
    <w:rsid w:val="009C5625"/>
    <w:rsid w:val="009C5962"/>
    <w:rsid w:val="009D0999"/>
    <w:rsid w:val="009D68FF"/>
    <w:rsid w:val="009D7995"/>
    <w:rsid w:val="009E053C"/>
    <w:rsid w:val="009E7374"/>
    <w:rsid w:val="009F0698"/>
    <w:rsid w:val="009F5407"/>
    <w:rsid w:val="009F56F8"/>
    <w:rsid w:val="009F6F35"/>
    <w:rsid w:val="00A03034"/>
    <w:rsid w:val="00A03335"/>
    <w:rsid w:val="00A04FE9"/>
    <w:rsid w:val="00A05705"/>
    <w:rsid w:val="00A16F03"/>
    <w:rsid w:val="00A21136"/>
    <w:rsid w:val="00A215BE"/>
    <w:rsid w:val="00A3323A"/>
    <w:rsid w:val="00A3459F"/>
    <w:rsid w:val="00A36537"/>
    <w:rsid w:val="00A37914"/>
    <w:rsid w:val="00A43D1E"/>
    <w:rsid w:val="00A46C66"/>
    <w:rsid w:val="00A46FAF"/>
    <w:rsid w:val="00A5355E"/>
    <w:rsid w:val="00A55F5C"/>
    <w:rsid w:val="00A5674A"/>
    <w:rsid w:val="00A623EF"/>
    <w:rsid w:val="00A63FAD"/>
    <w:rsid w:val="00A64F91"/>
    <w:rsid w:val="00A67DD7"/>
    <w:rsid w:val="00A7438D"/>
    <w:rsid w:val="00A74797"/>
    <w:rsid w:val="00A7601D"/>
    <w:rsid w:val="00A8067B"/>
    <w:rsid w:val="00A81984"/>
    <w:rsid w:val="00A93E45"/>
    <w:rsid w:val="00AA0F23"/>
    <w:rsid w:val="00AA3E2F"/>
    <w:rsid w:val="00AA427E"/>
    <w:rsid w:val="00AA46CA"/>
    <w:rsid w:val="00AA535B"/>
    <w:rsid w:val="00AB26FA"/>
    <w:rsid w:val="00AB41C1"/>
    <w:rsid w:val="00AB4895"/>
    <w:rsid w:val="00AB73B3"/>
    <w:rsid w:val="00AC3273"/>
    <w:rsid w:val="00AC3990"/>
    <w:rsid w:val="00AC68C4"/>
    <w:rsid w:val="00AC6F12"/>
    <w:rsid w:val="00AD310D"/>
    <w:rsid w:val="00AD3D4D"/>
    <w:rsid w:val="00AE20AD"/>
    <w:rsid w:val="00AE4069"/>
    <w:rsid w:val="00AE7916"/>
    <w:rsid w:val="00AE7EF7"/>
    <w:rsid w:val="00AF09EA"/>
    <w:rsid w:val="00AF0CD0"/>
    <w:rsid w:val="00AF1D6D"/>
    <w:rsid w:val="00AF5632"/>
    <w:rsid w:val="00AF59E5"/>
    <w:rsid w:val="00AF6D74"/>
    <w:rsid w:val="00AF7B3A"/>
    <w:rsid w:val="00B03C6F"/>
    <w:rsid w:val="00B04913"/>
    <w:rsid w:val="00B109FC"/>
    <w:rsid w:val="00B146F0"/>
    <w:rsid w:val="00B17942"/>
    <w:rsid w:val="00B2169A"/>
    <w:rsid w:val="00B3029D"/>
    <w:rsid w:val="00B31D4D"/>
    <w:rsid w:val="00B34AFD"/>
    <w:rsid w:val="00B35BC5"/>
    <w:rsid w:val="00B3616B"/>
    <w:rsid w:val="00B37633"/>
    <w:rsid w:val="00B414F1"/>
    <w:rsid w:val="00B415B4"/>
    <w:rsid w:val="00B4167C"/>
    <w:rsid w:val="00B518C9"/>
    <w:rsid w:val="00B52EAC"/>
    <w:rsid w:val="00B54969"/>
    <w:rsid w:val="00B56A5C"/>
    <w:rsid w:val="00B62C57"/>
    <w:rsid w:val="00B70D96"/>
    <w:rsid w:val="00B77901"/>
    <w:rsid w:val="00B80456"/>
    <w:rsid w:val="00B80B9E"/>
    <w:rsid w:val="00B81DB4"/>
    <w:rsid w:val="00B838DA"/>
    <w:rsid w:val="00B84686"/>
    <w:rsid w:val="00B8613C"/>
    <w:rsid w:val="00B86E3A"/>
    <w:rsid w:val="00B91426"/>
    <w:rsid w:val="00B92A3C"/>
    <w:rsid w:val="00B97FD1"/>
    <w:rsid w:val="00BA017F"/>
    <w:rsid w:val="00BA1FC4"/>
    <w:rsid w:val="00BA2005"/>
    <w:rsid w:val="00BA741D"/>
    <w:rsid w:val="00BB13D4"/>
    <w:rsid w:val="00BB4441"/>
    <w:rsid w:val="00BB5E87"/>
    <w:rsid w:val="00BC3BA1"/>
    <w:rsid w:val="00BD535F"/>
    <w:rsid w:val="00BE0C45"/>
    <w:rsid w:val="00BE4098"/>
    <w:rsid w:val="00BE5DCE"/>
    <w:rsid w:val="00BE66E2"/>
    <w:rsid w:val="00BE6E64"/>
    <w:rsid w:val="00BF08B1"/>
    <w:rsid w:val="00BF2E92"/>
    <w:rsid w:val="00BF31B7"/>
    <w:rsid w:val="00BF4F99"/>
    <w:rsid w:val="00C05AEB"/>
    <w:rsid w:val="00C10048"/>
    <w:rsid w:val="00C1649F"/>
    <w:rsid w:val="00C170B1"/>
    <w:rsid w:val="00C17D6E"/>
    <w:rsid w:val="00C2121E"/>
    <w:rsid w:val="00C24BD8"/>
    <w:rsid w:val="00C2523D"/>
    <w:rsid w:val="00C255C0"/>
    <w:rsid w:val="00C30A57"/>
    <w:rsid w:val="00C30E9B"/>
    <w:rsid w:val="00C329CC"/>
    <w:rsid w:val="00C36DD2"/>
    <w:rsid w:val="00C41FC4"/>
    <w:rsid w:val="00C424FC"/>
    <w:rsid w:val="00C42AFD"/>
    <w:rsid w:val="00C50375"/>
    <w:rsid w:val="00C51ECC"/>
    <w:rsid w:val="00C556F9"/>
    <w:rsid w:val="00C55A71"/>
    <w:rsid w:val="00C56D47"/>
    <w:rsid w:val="00C600D9"/>
    <w:rsid w:val="00C634F4"/>
    <w:rsid w:val="00C67ADA"/>
    <w:rsid w:val="00C807D7"/>
    <w:rsid w:val="00C810E8"/>
    <w:rsid w:val="00C8211A"/>
    <w:rsid w:val="00C847C2"/>
    <w:rsid w:val="00C96920"/>
    <w:rsid w:val="00CA65B8"/>
    <w:rsid w:val="00CA6613"/>
    <w:rsid w:val="00CB0EF3"/>
    <w:rsid w:val="00CB5A7D"/>
    <w:rsid w:val="00CB762B"/>
    <w:rsid w:val="00CB7BD4"/>
    <w:rsid w:val="00CC69AD"/>
    <w:rsid w:val="00CF1664"/>
    <w:rsid w:val="00CF38E3"/>
    <w:rsid w:val="00CF5A8A"/>
    <w:rsid w:val="00D00FC4"/>
    <w:rsid w:val="00D01278"/>
    <w:rsid w:val="00D0221E"/>
    <w:rsid w:val="00D07464"/>
    <w:rsid w:val="00D12AB1"/>
    <w:rsid w:val="00D14C31"/>
    <w:rsid w:val="00D15282"/>
    <w:rsid w:val="00D20549"/>
    <w:rsid w:val="00D23B36"/>
    <w:rsid w:val="00D269D3"/>
    <w:rsid w:val="00D27AEB"/>
    <w:rsid w:val="00D312BE"/>
    <w:rsid w:val="00D43B53"/>
    <w:rsid w:val="00D44017"/>
    <w:rsid w:val="00D53BAE"/>
    <w:rsid w:val="00D54761"/>
    <w:rsid w:val="00D55031"/>
    <w:rsid w:val="00D56464"/>
    <w:rsid w:val="00D57DBA"/>
    <w:rsid w:val="00D57EBC"/>
    <w:rsid w:val="00D61812"/>
    <w:rsid w:val="00D65545"/>
    <w:rsid w:val="00D702F9"/>
    <w:rsid w:val="00D71F76"/>
    <w:rsid w:val="00D754E2"/>
    <w:rsid w:val="00D77095"/>
    <w:rsid w:val="00D80573"/>
    <w:rsid w:val="00D81214"/>
    <w:rsid w:val="00D94BB1"/>
    <w:rsid w:val="00D94DE5"/>
    <w:rsid w:val="00D961C9"/>
    <w:rsid w:val="00D97B80"/>
    <w:rsid w:val="00DA0C91"/>
    <w:rsid w:val="00DA1D73"/>
    <w:rsid w:val="00DB1522"/>
    <w:rsid w:val="00DB2761"/>
    <w:rsid w:val="00DB2FF6"/>
    <w:rsid w:val="00DB5E3E"/>
    <w:rsid w:val="00DC2B74"/>
    <w:rsid w:val="00DC3F8D"/>
    <w:rsid w:val="00DD0E0C"/>
    <w:rsid w:val="00DD5826"/>
    <w:rsid w:val="00DD7765"/>
    <w:rsid w:val="00DE522D"/>
    <w:rsid w:val="00DE7FCC"/>
    <w:rsid w:val="00DF58D8"/>
    <w:rsid w:val="00E03E66"/>
    <w:rsid w:val="00E079E2"/>
    <w:rsid w:val="00E131C5"/>
    <w:rsid w:val="00E23896"/>
    <w:rsid w:val="00E23955"/>
    <w:rsid w:val="00E2560C"/>
    <w:rsid w:val="00E25FDC"/>
    <w:rsid w:val="00E26360"/>
    <w:rsid w:val="00E363BF"/>
    <w:rsid w:val="00E3693D"/>
    <w:rsid w:val="00E417DF"/>
    <w:rsid w:val="00E47327"/>
    <w:rsid w:val="00E617D5"/>
    <w:rsid w:val="00E61D80"/>
    <w:rsid w:val="00E7385D"/>
    <w:rsid w:val="00E7646A"/>
    <w:rsid w:val="00E85D3F"/>
    <w:rsid w:val="00E86579"/>
    <w:rsid w:val="00E90A19"/>
    <w:rsid w:val="00E963FB"/>
    <w:rsid w:val="00E974F8"/>
    <w:rsid w:val="00E97835"/>
    <w:rsid w:val="00EA23DD"/>
    <w:rsid w:val="00EA5A19"/>
    <w:rsid w:val="00EA6EC3"/>
    <w:rsid w:val="00EA79DA"/>
    <w:rsid w:val="00EB06DD"/>
    <w:rsid w:val="00EB37F4"/>
    <w:rsid w:val="00EC0687"/>
    <w:rsid w:val="00EC636E"/>
    <w:rsid w:val="00EC7E55"/>
    <w:rsid w:val="00ED561F"/>
    <w:rsid w:val="00ED6F93"/>
    <w:rsid w:val="00EE3314"/>
    <w:rsid w:val="00EE7CB8"/>
    <w:rsid w:val="00EF16FB"/>
    <w:rsid w:val="00EF265D"/>
    <w:rsid w:val="00EF2B07"/>
    <w:rsid w:val="00EF2C17"/>
    <w:rsid w:val="00EF4701"/>
    <w:rsid w:val="00EF5414"/>
    <w:rsid w:val="00F02216"/>
    <w:rsid w:val="00F0291C"/>
    <w:rsid w:val="00F03937"/>
    <w:rsid w:val="00F101DD"/>
    <w:rsid w:val="00F11F8C"/>
    <w:rsid w:val="00F14193"/>
    <w:rsid w:val="00F14D59"/>
    <w:rsid w:val="00F16258"/>
    <w:rsid w:val="00F20317"/>
    <w:rsid w:val="00F20CCE"/>
    <w:rsid w:val="00F22969"/>
    <w:rsid w:val="00F3614E"/>
    <w:rsid w:val="00F40C01"/>
    <w:rsid w:val="00F52921"/>
    <w:rsid w:val="00F5525D"/>
    <w:rsid w:val="00F55D8C"/>
    <w:rsid w:val="00F56870"/>
    <w:rsid w:val="00F576E0"/>
    <w:rsid w:val="00F63A44"/>
    <w:rsid w:val="00F6440C"/>
    <w:rsid w:val="00F647ED"/>
    <w:rsid w:val="00F66D07"/>
    <w:rsid w:val="00F6700E"/>
    <w:rsid w:val="00F70364"/>
    <w:rsid w:val="00F74EC0"/>
    <w:rsid w:val="00F759BC"/>
    <w:rsid w:val="00F8579F"/>
    <w:rsid w:val="00F86626"/>
    <w:rsid w:val="00F901CF"/>
    <w:rsid w:val="00F906EF"/>
    <w:rsid w:val="00F94806"/>
    <w:rsid w:val="00F949E8"/>
    <w:rsid w:val="00FA0312"/>
    <w:rsid w:val="00FB110A"/>
    <w:rsid w:val="00FB33FD"/>
    <w:rsid w:val="00FB3E81"/>
    <w:rsid w:val="00FB5659"/>
    <w:rsid w:val="00FB645E"/>
    <w:rsid w:val="00FC0C73"/>
    <w:rsid w:val="00FC0D70"/>
    <w:rsid w:val="00FC35ED"/>
    <w:rsid w:val="00FD3902"/>
    <w:rsid w:val="00FD6CD9"/>
    <w:rsid w:val="00FE09E8"/>
    <w:rsid w:val="00FE20D9"/>
    <w:rsid w:val="00FE2692"/>
    <w:rsid w:val="00FE3542"/>
    <w:rsid w:val="00FE365F"/>
    <w:rsid w:val="00FE6A90"/>
    <w:rsid w:val="00FF0FB4"/>
    <w:rsid w:val="00FF1B88"/>
    <w:rsid w:val="00FF22EB"/>
    <w:rsid w:val="00FF30F9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5F2A60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77BA46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3E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header" w:uiPriority="99"/>
    <w:lsdException w:name="footer" w:uiPriority="99"/>
    <w:lsdException w:name="line number" w:qFormat="0"/>
    <w:lsdException w:name="List Bullet" w:qFormat="0"/>
    <w:lsdException w:name="List Number" w:qFormat="0"/>
    <w:lsdException w:name="List Bullet 2" w:qFormat="0"/>
    <w:lsdException w:name="List Bullet 3" w:qFormat="0"/>
    <w:lsdException w:name="List Bullet 4" w:qFormat="0"/>
    <w:lsdException w:name="List Bullet 5" w:qFormat="0"/>
    <w:lsdException w:name="List Number 2" w:qFormat="0"/>
    <w:lsdException w:name="List Number 3" w:qFormat="0"/>
    <w:lsdException w:name="List Number 4" w:qFormat="0"/>
    <w:lsdException w:name="List Number 5" w:qFormat="0"/>
    <w:lsdException w:name="Default Paragraph Font" w:semiHidden="1" w:uiPriority="1" w:unhideWhenUsed="1"/>
    <w:lsdException w:name="Hyperlink" w:uiPriority="99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Cite" w:qFormat="0"/>
    <w:lsdException w:name="HTML Code" w:qFormat="0"/>
    <w:lsdException w:name="HTML Definition" w:qFormat="0"/>
    <w:lsdException w:name="HTML Keyboard" w:qFormat="0"/>
    <w:lsdException w:name="HTML Sample" w:qFormat="0"/>
    <w:lsdException w:name="HTML Typewriter" w:qFormat="0"/>
    <w:lsdException w:name="HTML Variable" w:qFormat="0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qFormat="0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">
    <w:name w:val="Normal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macro"/>
    <w:link w:val="a5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paragraph" w:styleId="a0">
    <w:name w:val="Body Text"/>
    <w:basedOn w:val="a"/>
    <w:link w:val="a6"/>
    <w:qFormat/>
    <w:rPr>
      <w:rFonts w:cs="Simplified Arabic"/>
      <w:lang w:eastAsia="en-GB"/>
    </w:rPr>
  </w:style>
  <w:style w:type="paragraph" w:styleId="31">
    <w:name w:val="List 3"/>
    <w:basedOn w:val="a"/>
    <w:qFormat/>
    <w:pPr>
      <w:ind w:left="1080" w:hanging="360"/>
      <w:contextualSpacing/>
    </w:pPr>
  </w:style>
  <w:style w:type="paragraph" w:styleId="TOC7">
    <w:name w:val="toc 7"/>
    <w:basedOn w:val="a"/>
    <w:next w:val="a"/>
    <w:qFormat/>
    <w:pPr>
      <w:ind w:left="1440"/>
    </w:pPr>
  </w:style>
  <w:style w:type="paragraph" w:styleId="a7">
    <w:name w:val="table of authorities"/>
    <w:basedOn w:val="a"/>
    <w:next w:val="a"/>
    <w:qFormat/>
    <w:pPr>
      <w:ind w:left="240" w:hanging="240"/>
    </w:pPr>
  </w:style>
  <w:style w:type="paragraph" w:styleId="a8">
    <w:name w:val="Note Heading"/>
    <w:basedOn w:val="a"/>
    <w:next w:val="a"/>
    <w:link w:val="a9"/>
    <w:qFormat/>
    <w:rPr>
      <w:rFonts w:cs="Simplified Arabic"/>
    </w:rPr>
  </w:style>
  <w:style w:type="paragraph" w:styleId="81">
    <w:name w:val="index 8"/>
    <w:basedOn w:val="a"/>
    <w:next w:val="a"/>
    <w:qFormat/>
    <w:pPr>
      <w:ind w:left="1920" w:hanging="240"/>
    </w:pPr>
  </w:style>
  <w:style w:type="paragraph" w:styleId="aa">
    <w:name w:val="E-mail Signature"/>
    <w:basedOn w:val="a"/>
    <w:link w:val="ab"/>
    <w:qFormat/>
    <w:rPr>
      <w:rFonts w:cs="Simplified Arabic"/>
    </w:rPr>
  </w:style>
  <w:style w:type="paragraph" w:styleId="ac">
    <w:name w:val="Normal Indent"/>
    <w:basedOn w:val="a"/>
    <w:qFormat/>
    <w:pPr>
      <w:ind w:left="720"/>
    </w:pPr>
  </w:style>
  <w:style w:type="paragraph" w:styleId="ad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qFormat/>
    <w:pPr>
      <w:ind w:left="1200" w:hanging="240"/>
    </w:pPr>
  </w:style>
  <w:style w:type="paragraph" w:styleId="ae">
    <w:name w:val="envelope address"/>
    <w:basedOn w:val="a"/>
    <w:qFormat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f">
    <w:name w:val="Document Map"/>
    <w:basedOn w:val="a"/>
    <w:link w:val="af0"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"/>
    <w:next w:val="a"/>
    <w:qFormat/>
    <w:pPr>
      <w:spacing w:before="120"/>
    </w:pPr>
    <w:rPr>
      <w:rFonts w:cs="Simplified Arabic"/>
      <w:b/>
      <w:bCs/>
    </w:rPr>
  </w:style>
  <w:style w:type="paragraph" w:styleId="af2">
    <w:name w:val="annotation text"/>
    <w:basedOn w:val="a"/>
    <w:link w:val="af3"/>
    <w:qFormat/>
    <w:pPr>
      <w:spacing w:after="120"/>
    </w:pPr>
    <w:rPr>
      <w:rFonts w:cs="Simplified Arabic"/>
      <w:sz w:val="20"/>
      <w:szCs w:val="20"/>
    </w:rPr>
  </w:style>
  <w:style w:type="paragraph" w:styleId="61">
    <w:name w:val="index 6"/>
    <w:basedOn w:val="a"/>
    <w:next w:val="a"/>
    <w:qFormat/>
    <w:pPr>
      <w:ind w:left="1440" w:hanging="240"/>
    </w:pPr>
  </w:style>
  <w:style w:type="paragraph" w:styleId="af4">
    <w:name w:val="Salutation"/>
    <w:basedOn w:val="a"/>
    <w:next w:val="a"/>
    <w:link w:val="af5"/>
    <w:qFormat/>
    <w:rPr>
      <w:rFonts w:cs="Simplified Arabic"/>
    </w:rPr>
  </w:style>
  <w:style w:type="paragraph" w:styleId="32">
    <w:name w:val="Body Text 3"/>
    <w:basedOn w:val="a"/>
    <w:link w:val="33"/>
    <w:qFormat/>
    <w:pPr>
      <w:ind w:left="2160"/>
    </w:pPr>
    <w:rPr>
      <w:rFonts w:cs="Simplified Arabic"/>
      <w:lang w:eastAsia="en-GB"/>
    </w:rPr>
  </w:style>
  <w:style w:type="paragraph" w:styleId="af6">
    <w:name w:val="Closing"/>
    <w:basedOn w:val="a"/>
    <w:link w:val="af7"/>
    <w:qFormat/>
    <w:pPr>
      <w:ind w:left="4320"/>
    </w:pPr>
    <w:rPr>
      <w:rFonts w:cs="Simplified Arabic"/>
    </w:rPr>
  </w:style>
  <w:style w:type="paragraph" w:styleId="af8">
    <w:name w:val="Body Text Indent"/>
    <w:basedOn w:val="a"/>
    <w:link w:val="af9"/>
    <w:qFormat/>
    <w:pPr>
      <w:spacing w:after="120"/>
      <w:ind w:left="283"/>
    </w:pPr>
    <w:rPr>
      <w:rFonts w:cs="Simplified Arabic"/>
    </w:rPr>
  </w:style>
  <w:style w:type="paragraph" w:styleId="21">
    <w:name w:val="List 2"/>
    <w:basedOn w:val="a"/>
    <w:qFormat/>
    <w:pPr>
      <w:ind w:left="720" w:hanging="360"/>
      <w:contextualSpacing/>
    </w:pPr>
  </w:style>
  <w:style w:type="paragraph" w:styleId="afa">
    <w:name w:val="List Continue"/>
    <w:basedOn w:val="a"/>
    <w:qFormat/>
    <w:pPr>
      <w:spacing w:after="120"/>
      <w:ind w:left="360"/>
      <w:contextualSpacing/>
    </w:pPr>
  </w:style>
  <w:style w:type="paragraph" w:styleId="afb">
    <w:name w:val="Block Text"/>
    <w:basedOn w:val="a"/>
    <w:qFormat/>
    <w:pPr>
      <w:spacing w:after="120"/>
      <w:ind w:left="1440" w:right="1440"/>
    </w:pPr>
  </w:style>
  <w:style w:type="paragraph" w:styleId="HTML">
    <w:name w:val="HTML Address"/>
    <w:basedOn w:val="a"/>
    <w:link w:val="HTML0"/>
    <w:qFormat/>
    <w:rPr>
      <w:rFonts w:cs="Simplified Arabic"/>
      <w:i/>
      <w:iCs/>
    </w:rPr>
  </w:style>
  <w:style w:type="paragraph" w:styleId="41">
    <w:name w:val="index 4"/>
    <w:basedOn w:val="a"/>
    <w:next w:val="a"/>
    <w:qFormat/>
    <w:pPr>
      <w:ind w:left="960" w:hanging="240"/>
    </w:pPr>
  </w:style>
  <w:style w:type="paragraph" w:styleId="TOC5">
    <w:name w:val="toc 5"/>
    <w:basedOn w:val="a"/>
    <w:next w:val="a"/>
    <w:qFormat/>
    <w:pPr>
      <w:ind w:left="960"/>
    </w:pPr>
  </w:style>
  <w:style w:type="paragraph" w:styleId="TOC3">
    <w:name w:val="toc 3"/>
    <w:basedOn w:val="a"/>
    <w:next w:val="a"/>
    <w:qFormat/>
    <w:pPr>
      <w:ind w:left="480"/>
    </w:pPr>
  </w:style>
  <w:style w:type="paragraph" w:styleId="afc">
    <w:name w:val="Plain Text"/>
    <w:basedOn w:val="a"/>
    <w:link w:val="afd"/>
    <w:qFormat/>
    <w:rPr>
      <w:rFonts w:ascii="Courier New" w:hAnsi="Courier New" w:cs="Courier New"/>
      <w:sz w:val="20"/>
      <w:szCs w:val="20"/>
    </w:rPr>
  </w:style>
  <w:style w:type="paragraph" w:styleId="TOC8">
    <w:name w:val="toc 8"/>
    <w:basedOn w:val="a"/>
    <w:next w:val="a"/>
    <w:qFormat/>
    <w:pPr>
      <w:ind w:left="1680"/>
    </w:pPr>
  </w:style>
  <w:style w:type="paragraph" w:styleId="34">
    <w:name w:val="index 3"/>
    <w:basedOn w:val="a"/>
    <w:next w:val="a"/>
    <w:qFormat/>
    <w:pPr>
      <w:ind w:left="720" w:hanging="240"/>
    </w:pPr>
  </w:style>
  <w:style w:type="paragraph" w:styleId="afe">
    <w:name w:val="Date"/>
    <w:basedOn w:val="a"/>
    <w:next w:val="a"/>
    <w:link w:val="aff"/>
    <w:qFormat/>
    <w:rPr>
      <w:rFonts w:cs="Simplified Arabic"/>
    </w:rPr>
  </w:style>
  <w:style w:type="paragraph" w:styleId="22">
    <w:name w:val="Body Text Indent 2"/>
    <w:basedOn w:val="a"/>
    <w:link w:val="23"/>
    <w:qFormat/>
    <w:pPr>
      <w:spacing w:after="120"/>
      <w:ind w:left="360"/>
    </w:pPr>
    <w:rPr>
      <w:rFonts w:cs="Simplified Arabic"/>
    </w:rPr>
  </w:style>
  <w:style w:type="paragraph" w:styleId="aff0">
    <w:name w:val="endnote text"/>
    <w:basedOn w:val="a"/>
    <w:next w:val="a"/>
    <w:link w:val="aff1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2">
    <w:name w:val="List Continue 5"/>
    <w:basedOn w:val="a"/>
    <w:qFormat/>
    <w:pPr>
      <w:spacing w:after="120"/>
      <w:ind w:left="1800"/>
      <w:contextualSpacing/>
    </w:pPr>
  </w:style>
  <w:style w:type="paragraph" w:styleId="aff2">
    <w:name w:val="Balloon Text"/>
    <w:basedOn w:val="a"/>
    <w:link w:val="aff3"/>
    <w:qFormat/>
    <w:pPr>
      <w:spacing w:after="0"/>
    </w:pPr>
    <w:rPr>
      <w:rFonts w:ascii="Tahoma" w:hAnsi="Tahoma" w:cs="Tahoma"/>
      <w:sz w:val="16"/>
      <w:szCs w:val="16"/>
    </w:rPr>
  </w:style>
  <w:style w:type="paragraph" w:styleId="aff4">
    <w:name w:val="footer"/>
    <w:link w:val="aff5"/>
    <w:uiPriority w:val="99"/>
    <w:qFormat/>
    <w:rPr>
      <w:sz w:val="16"/>
      <w:szCs w:val="16"/>
      <w:lang w:val="en-GB" w:bidi="he-IL"/>
    </w:rPr>
  </w:style>
  <w:style w:type="paragraph" w:styleId="aff6">
    <w:name w:val="envelope return"/>
    <w:basedOn w:val="a"/>
    <w:qFormat/>
    <w:rPr>
      <w:rFonts w:cs="Simplified Arabic"/>
      <w:sz w:val="20"/>
      <w:szCs w:val="20"/>
    </w:rPr>
  </w:style>
  <w:style w:type="paragraph" w:styleId="aff7">
    <w:name w:val="header"/>
    <w:link w:val="aff8"/>
    <w:uiPriority w:val="99"/>
    <w:qFormat/>
    <w:pPr>
      <w:jc w:val="both"/>
    </w:pPr>
    <w:rPr>
      <w:sz w:val="24"/>
      <w:szCs w:val="24"/>
      <w:lang w:val="en-GB" w:bidi="he-IL"/>
    </w:rPr>
  </w:style>
  <w:style w:type="paragraph" w:styleId="aff9">
    <w:name w:val="Signature"/>
    <w:basedOn w:val="a"/>
    <w:link w:val="affa"/>
    <w:qFormat/>
    <w:pPr>
      <w:ind w:left="4320"/>
    </w:pPr>
    <w:rPr>
      <w:rFonts w:cs="Simplified Arabic"/>
    </w:rPr>
  </w:style>
  <w:style w:type="paragraph" w:styleId="TOC1">
    <w:name w:val="toc 1"/>
    <w:basedOn w:val="a"/>
    <w:next w:val="a0"/>
    <w:qFormat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qFormat/>
    <w:pPr>
      <w:spacing w:after="120"/>
      <w:ind w:left="1440"/>
      <w:contextualSpacing/>
    </w:pPr>
  </w:style>
  <w:style w:type="paragraph" w:styleId="TOC4">
    <w:name w:val="toc 4"/>
    <w:basedOn w:val="a"/>
    <w:next w:val="a"/>
    <w:qFormat/>
    <w:pPr>
      <w:ind w:left="720"/>
    </w:pPr>
  </w:style>
  <w:style w:type="paragraph" w:styleId="affb">
    <w:name w:val="index heading"/>
    <w:basedOn w:val="a"/>
    <w:next w:val="a"/>
    <w:qFormat/>
    <w:rPr>
      <w:b/>
      <w:bCs/>
    </w:rPr>
  </w:style>
  <w:style w:type="paragraph" w:styleId="affc">
    <w:name w:val="Subtitle"/>
    <w:basedOn w:val="a"/>
    <w:next w:val="a0"/>
    <w:link w:val="affd"/>
    <w:qFormat/>
    <w:pPr>
      <w:jc w:val="center"/>
    </w:pPr>
    <w:rPr>
      <w:rFonts w:cs="Simplified Arabic"/>
    </w:rPr>
  </w:style>
  <w:style w:type="paragraph" w:styleId="affe">
    <w:name w:val="List"/>
    <w:basedOn w:val="a"/>
    <w:qFormat/>
    <w:pPr>
      <w:ind w:left="360" w:hanging="360"/>
      <w:contextualSpacing/>
    </w:pPr>
  </w:style>
  <w:style w:type="paragraph" w:styleId="afff">
    <w:name w:val="footnote text"/>
    <w:basedOn w:val="a"/>
    <w:next w:val="a"/>
    <w:link w:val="afff0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TOC6">
    <w:name w:val="toc 6"/>
    <w:basedOn w:val="a"/>
    <w:next w:val="a"/>
    <w:qFormat/>
    <w:pPr>
      <w:ind w:left="1200"/>
    </w:pPr>
  </w:style>
  <w:style w:type="paragraph" w:styleId="53">
    <w:name w:val="List 5"/>
    <w:basedOn w:val="a"/>
    <w:qFormat/>
    <w:pPr>
      <w:ind w:left="1800" w:hanging="360"/>
      <w:contextualSpacing/>
    </w:pPr>
  </w:style>
  <w:style w:type="paragraph" w:styleId="35">
    <w:name w:val="Body Text Indent 3"/>
    <w:basedOn w:val="a"/>
    <w:link w:val="36"/>
    <w:qFormat/>
    <w:pPr>
      <w:spacing w:after="120"/>
      <w:ind w:left="360"/>
    </w:pPr>
    <w:rPr>
      <w:rFonts w:cs="Simplified Arabic"/>
      <w:sz w:val="16"/>
      <w:szCs w:val="16"/>
    </w:rPr>
  </w:style>
  <w:style w:type="paragraph" w:styleId="71">
    <w:name w:val="index 7"/>
    <w:basedOn w:val="a"/>
    <w:next w:val="a"/>
    <w:qFormat/>
    <w:pPr>
      <w:ind w:left="1680" w:hanging="240"/>
    </w:pPr>
  </w:style>
  <w:style w:type="paragraph" w:styleId="91">
    <w:name w:val="index 9"/>
    <w:basedOn w:val="a"/>
    <w:next w:val="a"/>
    <w:qFormat/>
    <w:pPr>
      <w:ind w:left="2160" w:hanging="240"/>
    </w:pPr>
  </w:style>
  <w:style w:type="paragraph" w:styleId="afff1">
    <w:name w:val="table of figures"/>
    <w:basedOn w:val="a"/>
    <w:next w:val="a"/>
    <w:qFormat/>
  </w:style>
  <w:style w:type="paragraph" w:styleId="TOC2">
    <w:name w:val="toc 2"/>
    <w:basedOn w:val="a"/>
    <w:next w:val="a0"/>
    <w:qFormat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qFormat/>
    <w:pPr>
      <w:ind w:left="1920"/>
    </w:pPr>
  </w:style>
  <w:style w:type="paragraph" w:styleId="24">
    <w:name w:val="Body Text 2"/>
    <w:basedOn w:val="a"/>
    <w:link w:val="25"/>
    <w:qFormat/>
    <w:pPr>
      <w:ind w:left="1440"/>
    </w:pPr>
    <w:rPr>
      <w:rFonts w:cs="Simplified Arabic"/>
      <w:lang w:eastAsia="en-GB"/>
    </w:rPr>
  </w:style>
  <w:style w:type="paragraph" w:styleId="43">
    <w:name w:val="List 4"/>
    <w:basedOn w:val="a"/>
    <w:qFormat/>
    <w:pPr>
      <w:ind w:left="1440" w:hanging="360"/>
      <w:contextualSpacing/>
    </w:pPr>
  </w:style>
  <w:style w:type="paragraph" w:styleId="26">
    <w:name w:val="List Continue 2"/>
    <w:basedOn w:val="a"/>
    <w:qFormat/>
    <w:pPr>
      <w:spacing w:after="120"/>
      <w:ind w:left="720"/>
      <w:contextualSpacing/>
    </w:pPr>
  </w:style>
  <w:style w:type="paragraph" w:styleId="afff2">
    <w:name w:val="Message Header"/>
    <w:basedOn w:val="a"/>
    <w:link w:val="afff3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paragraph" w:styleId="HTML1">
    <w:name w:val="HTML Preformatted"/>
    <w:basedOn w:val="a"/>
    <w:link w:val="HTML2"/>
    <w:qFormat/>
    <w:rPr>
      <w:rFonts w:ascii="Courier New" w:hAnsi="Courier New" w:cs="Courier New"/>
      <w:sz w:val="20"/>
      <w:szCs w:val="20"/>
    </w:rPr>
  </w:style>
  <w:style w:type="paragraph" w:styleId="afff4">
    <w:name w:val="Normal (Web)"/>
    <w:basedOn w:val="a"/>
    <w:qFormat/>
  </w:style>
  <w:style w:type="paragraph" w:styleId="37">
    <w:name w:val="List Continue 3"/>
    <w:basedOn w:val="a"/>
    <w:qFormat/>
    <w:pPr>
      <w:spacing w:after="120"/>
      <w:ind w:left="1080"/>
      <w:contextualSpacing/>
    </w:pPr>
  </w:style>
  <w:style w:type="paragraph" w:styleId="11">
    <w:name w:val="index 1"/>
    <w:basedOn w:val="a"/>
    <w:next w:val="a"/>
    <w:qFormat/>
    <w:pPr>
      <w:ind w:left="240" w:hanging="240"/>
    </w:pPr>
  </w:style>
  <w:style w:type="paragraph" w:styleId="27">
    <w:name w:val="index 2"/>
    <w:basedOn w:val="a"/>
    <w:next w:val="a"/>
    <w:qFormat/>
    <w:pPr>
      <w:ind w:left="480" w:hanging="240"/>
    </w:pPr>
  </w:style>
  <w:style w:type="paragraph" w:styleId="afff5">
    <w:name w:val="Title"/>
    <w:basedOn w:val="a"/>
    <w:next w:val="a0"/>
    <w:link w:val="afff6"/>
    <w:qFormat/>
    <w:pPr>
      <w:jc w:val="center"/>
    </w:pPr>
    <w:rPr>
      <w:rFonts w:cs="Simplified Arabic"/>
      <w:b/>
      <w:bCs/>
    </w:rPr>
  </w:style>
  <w:style w:type="paragraph" w:styleId="afff7">
    <w:name w:val="annotation subject"/>
    <w:basedOn w:val="af2"/>
    <w:next w:val="af2"/>
    <w:link w:val="afff8"/>
    <w:qFormat/>
    <w:pPr>
      <w:spacing w:after="240"/>
    </w:pPr>
    <w:rPr>
      <w:b/>
      <w:bCs/>
    </w:rPr>
  </w:style>
  <w:style w:type="paragraph" w:styleId="afff9">
    <w:name w:val="Body Text First Indent"/>
    <w:basedOn w:val="a0"/>
    <w:link w:val="afffa"/>
    <w:qFormat/>
    <w:pPr>
      <w:ind w:firstLine="720"/>
    </w:pPr>
  </w:style>
  <w:style w:type="paragraph" w:styleId="28">
    <w:name w:val="Body Text First Indent 2"/>
    <w:basedOn w:val="afff9"/>
    <w:link w:val="29"/>
    <w:qFormat/>
    <w:pPr>
      <w:ind w:firstLine="1440"/>
    </w:pPr>
  </w:style>
  <w:style w:type="table" w:styleId="afffb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c">
    <w:name w:val="Table Theme"/>
    <w:basedOn w:val="a2"/>
    <w:qFormat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qFormat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qFormat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qFormat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d">
    <w:name w:val="Table Elegant"/>
    <w:basedOn w:val="a2"/>
    <w:qFormat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qFormat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qFormat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qFormat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qFormat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qFormat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qFormat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qFormat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qFormat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qFormat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qFormat/>
    <w:pPr>
      <w:spacing w:after="24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qFormat/>
    <w:pPr>
      <w:spacing w:after="24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qFormat/>
    <w:pPr>
      <w:spacing w:after="24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e">
    <w:name w:val="Table Contemporary"/>
    <w:basedOn w:val="a2"/>
    <w:qFormat/>
    <w:pPr>
      <w:spacing w:after="24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qFormat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qFormat/>
    <w:pPr>
      <w:spacing w:after="24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qFormat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qFormat/>
    <w:pPr>
      <w:spacing w:after="24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qFormat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qFormat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qFormat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qFormat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qFormat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qFormat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qFormat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">
    <w:name w:val="Table Professional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31">
    <w:name w:val="Light Grid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41">
    <w:name w:val="Light Grid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51">
    <w:name w:val="Light Grid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61">
    <w:name w:val="Light Grid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1-2">
    <w:name w:val="Medium Shading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Grid 1 Accent 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ff0">
    <w:name w:val="Strong"/>
    <w:qFormat/>
    <w:rPr>
      <w:b/>
      <w:bCs/>
    </w:rPr>
  </w:style>
  <w:style w:type="character" w:styleId="affff1">
    <w:name w:val="endnote reference"/>
    <w:qFormat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f2">
    <w:name w:val="page number"/>
    <w:qFormat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f3">
    <w:name w:val="FollowedHyperlink"/>
    <w:qFormat/>
    <w:rPr>
      <w:color w:val="800080"/>
      <w:u w:val="single"/>
    </w:rPr>
  </w:style>
  <w:style w:type="character" w:styleId="affff4">
    <w:name w:val="Emphasis"/>
    <w:qFormat/>
    <w:rPr>
      <w:i/>
      <w:iCs/>
    </w:rPr>
  </w:style>
  <w:style w:type="character" w:styleId="affff5">
    <w:name w:val="Hyperlink"/>
    <w:uiPriority w:val="99"/>
    <w:qFormat/>
    <w:rPr>
      <w:color w:val="0000FF"/>
      <w:u w:val="single"/>
    </w:rPr>
  </w:style>
  <w:style w:type="character" w:styleId="affff6">
    <w:name w:val="annotation reference"/>
    <w:qFormat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7">
    <w:name w:val="footnote reference"/>
    <w:qFormat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character" w:customStyle="1" w:styleId="a5">
    <w:name w:val="宏文本 字符"/>
    <w:link w:val="a4"/>
    <w:qFormat/>
    <w:rPr>
      <w:rFonts w:ascii="Courier New" w:hAnsi="Courier New" w:cs="Courier New"/>
      <w:lang w:val="en-GB" w:eastAsia="zh-CN" w:bidi="ar-AE"/>
    </w:rPr>
  </w:style>
  <w:style w:type="character" w:customStyle="1" w:styleId="10">
    <w:name w:val="标题 1 字符"/>
    <w:link w:val="1"/>
    <w:qFormat/>
    <w:rPr>
      <w:sz w:val="24"/>
      <w:szCs w:val="24"/>
      <w:lang w:bidi="ar-AE"/>
    </w:rPr>
  </w:style>
  <w:style w:type="character" w:customStyle="1" w:styleId="20">
    <w:name w:val="标题 2 字符"/>
    <w:link w:val="2"/>
    <w:qFormat/>
    <w:rPr>
      <w:sz w:val="24"/>
      <w:szCs w:val="24"/>
      <w:lang w:bidi="ar-AE"/>
    </w:rPr>
  </w:style>
  <w:style w:type="character" w:customStyle="1" w:styleId="a6">
    <w:name w:val="正文文本 字符"/>
    <w:link w:val="a0"/>
    <w:qFormat/>
    <w:rPr>
      <w:sz w:val="24"/>
      <w:szCs w:val="24"/>
      <w:lang w:eastAsia="en-GB" w:bidi="ar-AE"/>
    </w:rPr>
  </w:style>
  <w:style w:type="character" w:customStyle="1" w:styleId="30">
    <w:name w:val="标题 3 字符"/>
    <w:link w:val="3"/>
    <w:qFormat/>
    <w:rPr>
      <w:sz w:val="24"/>
      <w:szCs w:val="24"/>
      <w:lang w:bidi="ar-AE"/>
    </w:rPr>
  </w:style>
  <w:style w:type="character" w:customStyle="1" w:styleId="40">
    <w:name w:val="标题 4 字符"/>
    <w:link w:val="4"/>
    <w:qFormat/>
    <w:rPr>
      <w:sz w:val="24"/>
      <w:szCs w:val="24"/>
      <w:lang w:bidi="ar-AE"/>
    </w:rPr>
  </w:style>
  <w:style w:type="character" w:customStyle="1" w:styleId="50">
    <w:name w:val="标题 5 字符"/>
    <w:link w:val="5"/>
    <w:qFormat/>
    <w:rPr>
      <w:sz w:val="24"/>
      <w:szCs w:val="24"/>
      <w:lang w:bidi="ar-AE"/>
    </w:rPr>
  </w:style>
  <w:style w:type="character" w:customStyle="1" w:styleId="60">
    <w:name w:val="标题 6 字符"/>
    <w:link w:val="6"/>
    <w:qFormat/>
    <w:rPr>
      <w:sz w:val="24"/>
      <w:szCs w:val="24"/>
      <w:lang w:bidi="ar-AE"/>
    </w:rPr>
  </w:style>
  <w:style w:type="character" w:customStyle="1" w:styleId="70">
    <w:name w:val="标题 7 字符"/>
    <w:link w:val="7"/>
    <w:qFormat/>
    <w:rPr>
      <w:sz w:val="24"/>
      <w:szCs w:val="24"/>
      <w:lang w:bidi="ar-AE"/>
    </w:rPr>
  </w:style>
  <w:style w:type="character" w:customStyle="1" w:styleId="80">
    <w:name w:val="标题 8 字符"/>
    <w:link w:val="8"/>
    <w:qFormat/>
    <w:rPr>
      <w:sz w:val="24"/>
      <w:szCs w:val="24"/>
      <w:lang w:bidi="ar-AE"/>
    </w:rPr>
  </w:style>
  <w:style w:type="character" w:customStyle="1" w:styleId="90">
    <w:name w:val="标题 9 字符"/>
    <w:link w:val="9"/>
    <w:qFormat/>
    <w:rPr>
      <w:sz w:val="24"/>
      <w:szCs w:val="24"/>
      <w:lang w:bidi="ar-AE"/>
    </w:rPr>
  </w:style>
  <w:style w:type="character" w:customStyle="1" w:styleId="a9">
    <w:name w:val="注释标题 字符"/>
    <w:link w:val="a8"/>
    <w:qFormat/>
    <w:rPr>
      <w:sz w:val="24"/>
      <w:szCs w:val="24"/>
      <w:lang w:bidi="ar-AE"/>
    </w:rPr>
  </w:style>
  <w:style w:type="character" w:customStyle="1" w:styleId="ab">
    <w:name w:val="电子邮件签名 字符"/>
    <w:link w:val="aa"/>
    <w:qFormat/>
    <w:rPr>
      <w:sz w:val="24"/>
      <w:szCs w:val="24"/>
      <w:lang w:bidi="ar-AE"/>
    </w:rPr>
  </w:style>
  <w:style w:type="character" w:customStyle="1" w:styleId="af0">
    <w:name w:val="文档结构图 字符"/>
    <w:link w:val="af"/>
    <w:qFormat/>
    <w:rPr>
      <w:rFonts w:ascii="Tahoma" w:hAnsi="Tahoma" w:cs="Tahoma"/>
      <w:sz w:val="16"/>
      <w:szCs w:val="16"/>
      <w:lang w:bidi="ar-AE"/>
    </w:rPr>
  </w:style>
  <w:style w:type="character" w:customStyle="1" w:styleId="af3">
    <w:name w:val="批注文字 字符"/>
    <w:link w:val="af2"/>
    <w:qFormat/>
    <w:rPr>
      <w:lang w:bidi="ar-AE"/>
    </w:rPr>
  </w:style>
  <w:style w:type="character" w:customStyle="1" w:styleId="af5">
    <w:name w:val="称呼 字符"/>
    <w:link w:val="af4"/>
    <w:qFormat/>
    <w:rPr>
      <w:sz w:val="24"/>
      <w:szCs w:val="24"/>
      <w:lang w:bidi="ar-AE"/>
    </w:rPr>
  </w:style>
  <w:style w:type="character" w:customStyle="1" w:styleId="33">
    <w:name w:val="正文文本 3 字符"/>
    <w:link w:val="32"/>
    <w:qFormat/>
    <w:rPr>
      <w:sz w:val="24"/>
      <w:szCs w:val="24"/>
      <w:lang w:eastAsia="en-GB" w:bidi="ar-AE"/>
    </w:rPr>
  </w:style>
  <w:style w:type="character" w:customStyle="1" w:styleId="af7">
    <w:name w:val="结束语 字符"/>
    <w:link w:val="af6"/>
    <w:qFormat/>
    <w:rPr>
      <w:sz w:val="24"/>
      <w:szCs w:val="24"/>
      <w:lang w:bidi="ar-AE"/>
    </w:rPr>
  </w:style>
  <w:style w:type="character" w:customStyle="1" w:styleId="af9">
    <w:name w:val="正文文本缩进 字符"/>
    <w:link w:val="af8"/>
    <w:qFormat/>
    <w:rPr>
      <w:sz w:val="24"/>
      <w:szCs w:val="24"/>
      <w:lang w:bidi="ar-AE"/>
    </w:rPr>
  </w:style>
  <w:style w:type="character" w:customStyle="1" w:styleId="HTML0">
    <w:name w:val="HTML 地址 字符"/>
    <w:link w:val="HTML"/>
    <w:qFormat/>
    <w:rPr>
      <w:i/>
      <w:iCs/>
      <w:sz w:val="24"/>
      <w:szCs w:val="24"/>
      <w:lang w:bidi="ar-AE"/>
    </w:rPr>
  </w:style>
  <w:style w:type="character" w:customStyle="1" w:styleId="afd">
    <w:name w:val="纯文本 字符"/>
    <w:link w:val="afc"/>
    <w:qFormat/>
    <w:rPr>
      <w:rFonts w:ascii="Courier New" w:hAnsi="Courier New" w:cs="Courier New"/>
      <w:lang w:bidi="ar-AE"/>
    </w:rPr>
  </w:style>
  <w:style w:type="character" w:customStyle="1" w:styleId="aff">
    <w:name w:val="日期 字符"/>
    <w:link w:val="afe"/>
    <w:qFormat/>
    <w:rPr>
      <w:sz w:val="24"/>
      <w:szCs w:val="24"/>
      <w:lang w:bidi="ar-AE"/>
    </w:rPr>
  </w:style>
  <w:style w:type="character" w:customStyle="1" w:styleId="23">
    <w:name w:val="正文文本缩进 2 字符"/>
    <w:link w:val="22"/>
    <w:qFormat/>
    <w:rPr>
      <w:sz w:val="24"/>
      <w:szCs w:val="24"/>
      <w:lang w:bidi="ar-AE"/>
    </w:rPr>
  </w:style>
  <w:style w:type="character" w:customStyle="1" w:styleId="aff1">
    <w:name w:val="尾注文本 字符"/>
    <w:link w:val="aff0"/>
    <w:qFormat/>
    <w:rPr>
      <w:lang w:bidi="ar-AE"/>
    </w:rPr>
  </w:style>
  <w:style w:type="character" w:customStyle="1" w:styleId="aff3">
    <w:name w:val="批注框文本 字符"/>
    <w:link w:val="aff2"/>
    <w:qFormat/>
    <w:rPr>
      <w:rFonts w:ascii="Tahoma" w:hAnsi="Tahoma" w:cs="Tahoma"/>
      <w:sz w:val="16"/>
      <w:szCs w:val="16"/>
      <w:lang w:bidi="ar-AE"/>
    </w:rPr>
  </w:style>
  <w:style w:type="character" w:customStyle="1" w:styleId="aff5">
    <w:name w:val="页脚 字符"/>
    <w:link w:val="aff4"/>
    <w:uiPriority w:val="99"/>
    <w:qFormat/>
    <w:rPr>
      <w:sz w:val="16"/>
      <w:szCs w:val="16"/>
      <w:lang w:val="en-GB" w:eastAsia="zh-CN" w:bidi="he-IL"/>
    </w:rPr>
  </w:style>
  <w:style w:type="character" w:customStyle="1" w:styleId="aff8">
    <w:name w:val="页眉 字符"/>
    <w:link w:val="aff7"/>
    <w:uiPriority w:val="99"/>
    <w:qFormat/>
    <w:rPr>
      <w:sz w:val="24"/>
      <w:szCs w:val="24"/>
      <w:lang w:val="en-GB" w:eastAsia="zh-CN" w:bidi="he-IL"/>
    </w:rPr>
  </w:style>
  <w:style w:type="character" w:customStyle="1" w:styleId="affa">
    <w:name w:val="签名 字符"/>
    <w:link w:val="aff9"/>
    <w:qFormat/>
    <w:rPr>
      <w:sz w:val="24"/>
      <w:szCs w:val="24"/>
      <w:lang w:bidi="ar-AE"/>
    </w:rPr>
  </w:style>
  <w:style w:type="character" w:customStyle="1" w:styleId="affd">
    <w:name w:val="副标题 字符"/>
    <w:link w:val="affc"/>
    <w:qFormat/>
    <w:rPr>
      <w:sz w:val="24"/>
      <w:szCs w:val="24"/>
      <w:lang w:bidi="ar-AE"/>
    </w:rPr>
  </w:style>
  <w:style w:type="character" w:customStyle="1" w:styleId="afff0">
    <w:name w:val="脚注文本 字符"/>
    <w:link w:val="afff"/>
    <w:qFormat/>
    <w:rPr>
      <w:lang w:bidi="ar-AE"/>
    </w:rPr>
  </w:style>
  <w:style w:type="character" w:customStyle="1" w:styleId="36">
    <w:name w:val="正文文本缩进 3 字符"/>
    <w:link w:val="35"/>
    <w:qFormat/>
    <w:rPr>
      <w:sz w:val="16"/>
      <w:szCs w:val="16"/>
      <w:lang w:bidi="ar-AE"/>
    </w:rPr>
  </w:style>
  <w:style w:type="character" w:customStyle="1" w:styleId="25">
    <w:name w:val="正文文本 2 字符"/>
    <w:link w:val="24"/>
    <w:qFormat/>
    <w:rPr>
      <w:sz w:val="24"/>
      <w:szCs w:val="24"/>
      <w:lang w:eastAsia="en-GB" w:bidi="ar-AE"/>
    </w:rPr>
  </w:style>
  <w:style w:type="character" w:customStyle="1" w:styleId="afff3">
    <w:name w:val="信息标题 字符"/>
    <w:link w:val="afff2"/>
    <w:qFormat/>
    <w:rPr>
      <w:rFonts w:ascii="Times New Roman" w:eastAsia="宋体" w:hAnsi="Times New Roman" w:cs="Simplified Arabic"/>
      <w:sz w:val="24"/>
      <w:szCs w:val="24"/>
      <w:shd w:val="pct20" w:color="auto" w:fill="auto"/>
      <w:lang w:bidi="ar-AE"/>
    </w:rPr>
  </w:style>
  <w:style w:type="character" w:customStyle="1" w:styleId="HTML2">
    <w:name w:val="HTML 预设格式 字符"/>
    <w:link w:val="HTML1"/>
    <w:qFormat/>
    <w:rPr>
      <w:rFonts w:ascii="Courier New" w:hAnsi="Courier New" w:cs="Courier New"/>
      <w:lang w:bidi="ar-AE"/>
    </w:rPr>
  </w:style>
  <w:style w:type="character" w:customStyle="1" w:styleId="afff6">
    <w:name w:val="标题 字符"/>
    <w:link w:val="afff5"/>
    <w:qFormat/>
    <w:rPr>
      <w:b/>
      <w:bCs/>
      <w:sz w:val="24"/>
      <w:szCs w:val="24"/>
      <w:lang w:bidi="ar-AE"/>
    </w:rPr>
  </w:style>
  <w:style w:type="character" w:customStyle="1" w:styleId="afff8">
    <w:name w:val="批注主题 字符"/>
    <w:link w:val="afff7"/>
    <w:qFormat/>
    <w:rPr>
      <w:b/>
      <w:bCs/>
      <w:lang w:bidi="ar-AE"/>
    </w:rPr>
  </w:style>
  <w:style w:type="character" w:customStyle="1" w:styleId="afffa">
    <w:name w:val="正文文本首行缩进 字符"/>
    <w:link w:val="afff9"/>
    <w:qFormat/>
    <w:rPr>
      <w:sz w:val="24"/>
      <w:szCs w:val="24"/>
      <w:lang w:eastAsia="en-GB" w:bidi="ar-AE"/>
    </w:rPr>
  </w:style>
  <w:style w:type="character" w:customStyle="1" w:styleId="29">
    <w:name w:val="正文文本首行缩进 2 字符"/>
    <w:link w:val="28"/>
    <w:qFormat/>
    <w:rPr>
      <w:sz w:val="24"/>
      <w:szCs w:val="24"/>
      <w:lang w:eastAsia="en-GB" w:bidi="ar-AE"/>
    </w:rPr>
  </w:style>
  <w:style w:type="paragraph" w:customStyle="1" w:styleId="BodyText1">
    <w:name w:val="Body Text 1"/>
    <w:basedOn w:val="a"/>
    <w:qFormat/>
    <w:pPr>
      <w:ind w:left="720"/>
    </w:pPr>
    <w:rPr>
      <w:lang w:eastAsia="en-GB"/>
    </w:rPr>
  </w:style>
  <w:style w:type="paragraph" w:customStyle="1" w:styleId="BodyText4">
    <w:name w:val="Body Text 4"/>
    <w:basedOn w:val="a"/>
    <w:qFormat/>
    <w:pPr>
      <w:ind w:left="2880"/>
    </w:pPr>
    <w:rPr>
      <w:lang w:eastAsia="en-GB"/>
    </w:rPr>
  </w:style>
  <w:style w:type="paragraph" w:customStyle="1" w:styleId="BodyText5">
    <w:name w:val="Body Text 5"/>
    <w:basedOn w:val="a"/>
    <w:qFormat/>
    <w:pPr>
      <w:ind w:left="3600"/>
    </w:pPr>
    <w:rPr>
      <w:lang w:eastAsia="en-GB"/>
    </w:rPr>
  </w:style>
  <w:style w:type="paragraph" w:customStyle="1" w:styleId="BodyText6">
    <w:name w:val="Body Text 6"/>
    <w:basedOn w:val="a"/>
    <w:qFormat/>
    <w:pPr>
      <w:ind w:left="4320"/>
    </w:pPr>
    <w:rPr>
      <w:lang w:eastAsia="en-GB"/>
    </w:rPr>
  </w:style>
  <w:style w:type="paragraph" w:customStyle="1" w:styleId="BodyText7">
    <w:name w:val="Body Text 7"/>
    <w:basedOn w:val="a"/>
    <w:qFormat/>
    <w:pPr>
      <w:ind w:left="5041"/>
    </w:pPr>
    <w:rPr>
      <w:lang w:eastAsia="en-GB"/>
    </w:rPr>
  </w:style>
  <w:style w:type="paragraph" w:customStyle="1" w:styleId="FooterRight">
    <w:name w:val="Footer Right"/>
    <w:basedOn w:val="aff4"/>
    <w:qFormat/>
    <w:pPr>
      <w:jc w:val="right"/>
    </w:pPr>
  </w:style>
  <w:style w:type="paragraph" w:customStyle="1" w:styleId="Footnote">
    <w:name w:val="Footnote"/>
    <w:basedOn w:val="afff"/>
    <w:qFormat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qFormat/>
    <w:rPr>
      <w:b/>
      <w:bCs/>
    </w:rPr>
  </w:style>
  <w:style w:type="paragraph" w:customStyle="1" w:styleId="NormalBoldNS">
    <w:name w:val="NormalBoldNS"/>
    <w:basedOn w:val="a"/>
    <w:next w:val="a"/>
    <w:qFormat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qFormat/>
    <w:pPr>
      <w:spacing w:after="0"/>
    </w:pPr>
  </w:style>
  <w:style w:type="paragraph" w:customStyle="1" w:styleId="NormalRight">
    <w:name w:val="NormalRight"/>
    <w:basedOn w:val="NormalNS"/>
    <w:qFormat/>
    <w:pPr>
      <w:jc w:val="right"/>
    </w:pPr>
  </w:style>
  <w:style w:type="paragraph" w:customStyle="1" w:styleId="NoteContinuation">
    <w:name w:val="Note Continuation"/>
    <w:basedOn w:val="a"/>
    <w:qFormat/>
    <w:pPr>
      <w:spacing w:after="120"/>
      <w:ind w:left="340"/>
    </w:pPr>
    <w:rPr>
      <w:sz w:val="20"/>
      <w:szCs w:val="20"/>
    </w:rPr>
  </w:style>
  <w:style w:type="paragraph" w:customStyle="1" w:styleId="TOC10">
    <w:name w:val="TOC 标题1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qFormat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pPr>
      <w:spacing w:after="240"/>
    </w:pPr>
  </w:style>
  <w:style w:type="paragraph" w:customStyle="1" w:styleId="SubTitle0">
    <w:name w:val="SubTitle0"/>
    <w:basedOn w:val="affc"/>
    <w:qFormat/>
    <w:pPr>
      <w:spacing w:after="0"/>
    </w:pPr>
  </w:style>
  <w:style w:type="paragraph" w:customStyle="1" w:styleId="OptionLabel">
    <w:name w:val="OptionLabel"/>
    <w:qFormat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qFormat/>
    <w:pPr>
      <w:jc w:val="left"/>
    </w:pPr>
  </w:style>
  <w:style w:type="paragraph" w:customStyle="1" w:styleId="1b">
    <w:name w:val="书目1"/>
    <w:basedOn w:val="a"/>
    <w:next w:val="a"/>
    <w:qFormat/>
  </w:style>
  <w:style w:type="table" w:customStyle="1" w:styleId="ColorfulGrid1">
    <w:name w:val="Colorful Grid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qFormat/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qFormat/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a">
    <w:name w:val="Intense Quote"/>
    <w:basedOn w:val="a"/>
    <w:next w:val="a"/>
    <w:link w:val="affffb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b">
    <w:name w:val="明显引用 字符"/>
    <w:link w:val="affffa"/>
    <w:qFormat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List1">
    <w:name w:val="Light List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c">
    <w:name w:val="Quote"/>
    <w:basedOn w:val="a"/>
    <w:next w:val="a"/>
    <w:link w:val="affffd"/>
    <w:qFormat/>
    <w:rPr>
      <w:rFonts w:cs="Simplified Arabic"/>
      <w:i/>
      <w:iCs/>
      <w:color w:val="000000"/>
    </w:rPr>
  </w:style>
  <w:style w:type="character" w:customStyle="1" w:styleId="affffd">
    <w:name w:val="引用 字符"/>
    <w:link w:val="affffc"/>
    <w:qFormat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qFormat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qFormat/>
    <w:rPr>
      <w:sz w:val="24"/>
      <w:szCs w:val="24"/>
      <w:lang w:bidi="ar-AE"/>
    </w:rPr>
  </w:style>
  <w:style w:type="paragraph" w:customStyle="1" w:styleId="StandardL8">
    <w:name w:val="Standard L8"/>
    <w:basedOn w:val="a"/>
    <w:next w:val="24"/>
    <w:link w:val="StandardL8Char"/>
    <w:qFormat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qFormat/>
    <w:rPr>
      <w:sz w:val="24"/>
      <w:szCs w:val="24"/>
      <w:lang w:bidi="ar-AE"/>
    </w:rPr>
  </w:style>
  <w:style w:type="paragraph" w:customStyle="1" w:styleId="StandardL7">
    <w:name w:val="Standard L7"/>
    <w:basedOn w:val="a"/>
    <w:next w:val="BodyText6"/>
    <w:link w:val="StandardL7Char"/>
    <w:qFormat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qFormat/>
    <w:rPr>
      <w:sz w:val="24"/>
      <w:szCs w:val="24"/>
      <w:lang w:bidi="ar-AE"/>
    </w:rPr>
  </w:style>
  <w:style w:type="paragraph" w:customStyle="1" w:styleId="StandardL6">
    <w:name w:val="Standard L6"/>
    <w:basedOn w:val="a"/>
    <w:next w:val="BodyText5"/>
    <w:link w:val="StandardL6Char"/>
    <w:qFormat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qFormat/>
    <w:rPr>
      <w:sz w:val="24"/>
      <w:szCs w:val="24"/>
      <w:lang w:bidi="ar-AE"/>
    </w:rPr>
  </w:style>
  <w:style w:type="paragraph" w:customStyle="1" w:styleId="StandardL5">
    <w:name w:val="Standard L5"/>
    <w:basedOn w:val="a"/>
    <w:next w:val="BodyText4"/>
    <w:link w:val="StandardL5Char"/>
    <w:qFormat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qFormat/>
    <w:rPr>
      <w:sz w:val="24"/>
      <w:szCs w:val="24"/>
      <w:lang w:bidi="ar-AE"/>
    </w:rPr>
  </w:style>
  <w:style w:type="paragraph" w:customStyle="1" w:styleId="BulletL9">
    <w:name w:val="Bullet L9"/>
    <w:basedOn w:val="a"/>
    <w:link w:val="BulletL9Char"/>
    <w:qFormat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BulletL9Char">
    <w:name w:val="Bullet L9 Char"/>
    <w:link w:val="BulletL9"/>
    <w:qFormat/>
    <w:rPr>
      <w:sz w:val="24"/>
      <w:szCs w:val="24"/>
      <w:lang w:bidi="ar-AE"/>
    </w:rPr>
  </w:style>
  <w:style w:type="paragraph" w:customStyle="1" w:styleId="BulletL8">
    <w:name w:val="Bullet L8"/>
    <w:basedOn w:val="a"/>
    <w:link w:val="BulletL8Char"/>
    <w:qFormat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BulletL8Char">
    <w:name w:val="Bullet L8 Char"/>
    <w:link w:val="BulletL8"/>
    <w:qFormat/>
    <w:rPr>
      <w:sz w:val="24"/>
      <w:szCs w:val="24"/>
      <w:lang w:bidi="ar-AE"/>
    </w:rPr>
  </w:style>
  <w:style w:type="paragraph" w:customStyle="1" w:styleId="BulletL7">
    <w:name w:val="Bullet L7"/>
    <w:basedOn w:val="a"/>
    <w:link w:val="BulletL7Char"/>
    <w:qFormat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BulletL7Char">
    <w:name w:val="Bullet L7 Char"/>
    <w:link w:val="BulletL7"/>
    <w:qFormat/>
    <w:rPr>
      <w:sz w:val="24"/>
      <w:szCs w:val="24"/>
      <w:lang w:bidi="ar-AE"/>
    </w:rPr>
  </w:style>
  <w:style w:type="paragraph" w:customStyle="1" w:styleId="BulletL6">
    <w:name w:val="Bullet L6"/>
    <w:basedOn w:val="a"/>
    <w:link w:val="BulletL6Char"/>
    <w:qFormat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BulletL6Char">
    <w:name w:val="Bullet L6 Char"/>
    <w:link w:val="BulletL6"/>
    <w:qFormat/>
    <w:rPr>
      <w:sz w:val="24"/>
      <w:szCs w:val="24"/>
      <w:lang w:bidi="ar-AE"/>
    </w:rPr>
  </w:style>
  <w:style w:type="paragraph" w:customStyle="1" w:styleId="BulletL5">
    <w:name w:val="Bullet L5"/>
    <w:basedOn w:val="a"/>
    <w:link w:val="BulletL5Char"/>
    <w:qFormat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BulletL5Char">
    <w:name w:val="Bullet L5 Char"/>
    <w:link w:val="BulletL5"/>
    <w:qFormat/>
    <w:rPr>
      <w:sz w:val="24"/>
      <w:szCs w:val="24"/>
      <w:lang w:bidi="ar-AE"/>
    </w:rPr>
  </w:style>
  <w:style w:type="paragraph" w:customStyle="1" w:styleId="BulletL4">
    <w:name w:val="Bullet L4"/>
    <w:basedOn w:val="a"/>
    <w:link w:val="BulletL4Char"/>
    <w:qFormat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BulletL4Char">
    <w:name w:val="Bullet L4 Char"/>
    <w:link w:val="BulletL4"/>
    <w:qFormat/>
    <w:rPr>
      <w:sz w:val="24"/>
      <w:szCs w:val="24"/>
      <w:lang w:bidi="ar-AE"/>
    </w:rPr>
  </w:style>
  <w:style w:type="paragraph" w:customStyle="1" w:styleId="BulletL3">
    <w:name w:val="Bullet L3"/>
    <w:basedOn w:val="a"/>
    <w:link w:val="BulletL3Char"/>
    <w:qFormat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BulletL3Char">
    <w:name w:val="Bullet L3 Char"/>
    <w:link w:val="BulletL3"/>
    <w:qFormat/>
    <w:rPr>
      <w:sz w:val="24"/>
      <w:szCs w:val="24"/>
      <w:lang w:bidi="ar-AE"/>
    </w:rPr>
  </w:style>
  <w:style w:type="paragraph" w:customStyle="1" w:styleId="BulletL2">
    <w:name w:val="Bullet L2"/>
    <w:basedOn w:val="a"/>
    <w:link w:val="BulletL2Char"/>
    <w:qFormat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BulletL2Char">
    <w:name w:val="Bullet L2 Char"/>
    <w:link w:val="BulletL2"/>
    <w:qFormat/>
    <w:rPr>
      <w:sz w:val="24"/>
      <w:szCs w:val="24"/>
      <w:lang w:bidi="ar-AE"/>
    </w:rPr>
  </w:style>
  <w:style w:type="paragraph" w:customStyle="1" w:styleId="BulletL1">
    <w:name w:val="Bullet L1"/>
    <w:basedOn w:val="a"/>
    <w:link w:val="BulletL1Char"/>
    <w:qFormat/>
    <w:pPr>
      <w:numPr>
        <w:numId w:val="2"/>
      </w:numPr>
      <w:outlineLvl w:val="0"/>
    </w:pPr>
    <w:rPr>
      <w:rFonts w:cs="Simplified Arabic"/>
    </w:rPr>
  </w:style>
  <w:style w:type="character" w:customStyle="1" w:styleId="BulletL1Char">
    <w:name w:val="Bullet L1 Char"/>
    <w:link w:val="BulletL1"/>
    <w:qFormat/>
    <w:rPr>
      <w:sz w:val="24"/>
      <w:szCs w:val="24"/>
      <w:lang w:bidi="ar-AE"/>
    </w:rPr>
  </w:style>
  <w:style w:type="paragraph" w:customStyle="1" w:styleId="StandardL4">
    <w:name w:val="Standard L4"/>
    <w:basedOn w:val="a"/>
    <w:next w:val="32"/>
    <w:link w:val="StandardL4Char"/>
    <w:qFormat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qFormat/>
    <w:rPr>
      <w:sz w:val="24"/>
      <w:szCs w:val="24"/>
      <w:lang w:bidi="ar-AE"/>
    </w:rPr>
  </w:style>
  <w:style w:type="paragraph" w:customStyle="1" w:styleId="StandardL3">
    <w:name w:val="Standard L3"/>
    <w:basedOn w:val="a"/>
    <w:next w:val="24"/>
    <w:link w:val="StandardL3Char"/>
    <w:qFormat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qFormat/>
    <w:rPr>
      <w:sz w:val="24"/>
      <w:szCs w:val="24"/>
      <w:lang w:bidi="ar-AE"/>
    </w:rPr>
  </w:style>
  <w:style w:type="paragraph" w:customStyle="1" w:styleId="StandardL2">
    <w:name w:val="Standard L2"/>
    <w:basedOn w:val="a"/>
    <w:next w:val="BodyText1"/>
    <w:link w:val="StandardL2Char"/>
    <w:qFormat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qFormat/>
    <w:rPr>
      <w:sz w:val="24"/>
      <w:szCs w:val="24"/>
      <w:lang w:bidi="ar-AE"/>
    </w:rPr>
  </w:style>
  <w:style w:type="paragraph" w:customStyle="1" w:styleId="StandardL1">
    <w:name w:val="Standard L1"/>
    <w:basedOn w:val="a"/>
    <w:next w:val="BodyText1"/>
    <w:link w:val="StandardL1Char"/>
    <w:qFormat/>
    <w:pPr>
      <w:keepNext/>
      <w:numPr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qFormat/>
    <w:rPr>
      <w:b/>
      <w:caps/>
      <w:sz w:val="24"/>
      <w:szCs w:val="24"/>
      <w:lang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qFormat/>
    <w:pPr>
      <w:numPr>
        <w:numId w:val="3"/>
      </w:numPr>
      <w:spacing w:before="0"/>
    </w:pPr>
    <w:rPr>
      <w:rFonts w:eastAsia="仿宋_GB2312"/>
      <w:bCs/>
      <w:sz w:val="21"/>
      <w:szCs w:val="21"/>
    </w:rPr>
  </w:style>
  <w:style w:type="paragraph" w:customStyle="1" w:styleId="1c">
    <w:name w:val="修订1"/>
    <w:hidden/>
    <w:uiPriority w:val="99"/>
    <w:unhideWhenUsed/>
    <w:qFormat/>
    <w:rPr>
      <w:sz w:val="24"/>
      <w:szCs w:val="24"/>
      <w:lang w:val="en-GB" w:bidi="ar-AE"/>
    </w:rPr>
  </w:style>
  <w:style w:type="paragraph" w:styleId="affffe">
    <w:name w:val="Revision"/>
    <w:hidden/>
    <w:uiPriority w:val="99"/>
    <w:semiHidden/>
    <w:rsid w:val="00926651"/>
    <w:rPr>
      <w:sz w:val="24"/>
      <w:szCs w:val="24"/>
      <w:lang w:val="en-GB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2026-07-30T01:38:00Z</dcterms:created>
  <dcterms:modified xsi:type="dcterms:W3CDTF">2026-08-13T09:29:00Z</dcterms:modified>
</cp:coreProperties>
</file>