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80C0C" w14:textId="5618C6CC" w:rsidR="00AB1591" w:rsidRDefault="00AB1591" w:rsidP="00AB1591">
      <w:pPr>
        <w:spacing w:line="360" w:lineRule="auto"/>
        <w:jc w:val="center"/>
        <w:rPr>
          <w:rFonts w:ascii="SimHei" w:eastAsia="SimHei" w:hAnsi="SimHei" w:cs="SimHei"/>
          <w:bCs/>
          <w:sz w:val="36"/>
          <w:szCs w:val="36"/>
        </w:rPr>
      </w:pPr>
      <w:r>
        <w:rPr>
          <w:rFonts w:ascii="SimHei" w:eastAsia="SimHei" w:hAnsi="SimHei" w:cs="SimHei" w:hint="eastAsia"/>
          <w:bCs/>
          <w:sz w:val="36"/>
          <w:szCs w:val="36"/>
        </w:rPr>
        <w:t>经营者集中简易案件公示表</w:t>
      </w:r>
    </w:p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61"/>
        <w:gridCol w:w="1796"/>
        <w:gridCol w:w="5783"/>
      </w:tblGrid>
      <w:tr w:rsidR="00AB1591" w:rsidRPr="002672A6" w14:paraId="2582B65E" w14:textId="77777777" w:rsidTr="002207A3">
        <w:trPr>
          <w:trHeight w:val="764"/>
          <w:jc w:val="center"/>
        </w:trPr>
        <w:tc>
          <w:tcPr>
            <w:tcW w:w="2061" w:type="dxa"/>
            <w:shd w:val="clear" w:color="auto" w:fill="D9D9D9"/>
            <w:vAlign w:val="center"/>
          </w:tcPr>
          <w:p w14:paraId="02098584" w14:textId="77777777" w:rsidR="00AB1591" w:rsidRPr="002672A6" w:rsidRDefault="00AB1591" w:rsidP="00D758F5">
            <w:pPr>
              <w:pStyle w:val="BodyText"/>
              <w:adjustRightInd w:val="0"/>
              <w:snapToGrid w:val="0"/>
              <w:spacing w:after="0"/>
              <w:rPr>
                <w:rFonts w:cs="SimSun"/>
                <w:bCs/>
                <w:color w:val="000000"/>
                <w:lang w:val="en-US"/>
              </w:rPr>
            </w:pPr>
            <w:r w:rsidRPr="002672A6">
              <w:rPr>
                <w:rFonts w:cs="SimSun" w:hint="eastAsia"/>
                <w:bCs/>
                <w:color w:val="000000"/>
              </w:rPr>
              <w:t>案件名称</w:t>
            </w:r>
          </w:p>
        </w:tc>
        <w:tc>
          <w:tcPr>
            <w:tcW w:w="7579" w:type="dxa"/>
            <w:gridSpan w:val="2"/>
            <w:vAlign w:val="center"/>
          </w:tcPr>
          <w:p w14:paraId="4253D798" w14:textId="301BA60B" w:rsidR="00AB1591" w:rsidRPr="002672A6" w:rsidRDefault="00346374" w:rsidP="00D758F5">
            <w:pPr>
              <w:adjustRightInd w:val="0"/>
              <w:snapToGrid w:val="0"/>
              <w:spacing w:after="0"/>
              <w:rPr>
                <w:rFonts w:cs="Arial"/>
                <w:bCs/>
                <w:color w:val="000000"/>
                <w:lang w:val="en-US"/>
              </w:rPr>
            </w:pPr>
            <w:r w:rsidRPr="002672A6">
              <w:rPr>
                <w:rFonts w:cs="Arial"/>
                <w:bCs/>
                <w:color w:val="000000"/>
                <w:lang w:val="en-US"/>
              </w:rPr>
              <w:t>阿瑞斯管理公司收购</w:t>
            </w:r>
            <w:r w:rsidRPr="002672A6">
              <w:rPr>
                <w:rFonts w:cs="Arial"/>
                <w:bCs/>
                <w:color w:val="000000"/>
              </w:rPr>
              <w:t>Eni Plenitude S.p.A. Società Benefit</w:t>
            </w:r>
            <w:r w:rsidRPr="002672A6">
              <w:rPr>
                <w:rFonts w:cs="Arial"/>
                <w:bCs/>
                <w:color w:val="000000"/>
                <w:lang w:val="en-US"/>
              </w:rPr>
              <w:t>股权案</w:t>
            </w:r>
          </w:p>
        </w:tc>
      </w:tr>
      <w:tr w:rsidR="00AB1591" w:rsidRPr="002672A6" w14:paraId="7EA7C63F" w14:textId="77777777" w:rsidTr="00D758F5">
        <w:trPr>
          <w:trHeight w:val="1391"/>
          <w:jc w:val="center"/>
        </w:trPr>
        <w:tc>
          <w:tcPr>
            <w:tcW w:w="2061" w:type="dxa"/>
            <w:shd w:val="clear" w:color="auto" w:fill="D9D9D9"/>
            <w:vAlign w:val="center"/>
          </w:tcPr>
          <w:p w14:paraId="229AFDF4" w14:textId="77777777" w:rsidR="00AB1591" w:rsidRPr="002672A6" w:rsidRDefault="00AB1591" w:rsidP="00D758F5">
            <w:pPr>
              <w:pStyle w:val="BodyText"/>
              <w:adjustRightInd w:val="0"/>
              <w:snapToGrid w:val="0"/>
              <w:spacing w:after="0"/>
              <w:rPr>
                <w:rFonts w:cs="SimSun"/>
                <w:bCs/>
                <w:color w:val="000000"/>
                <w:lang w:val="en-US" w:eastAsia="zh-CN"/>
              </w:rPr>
            </w:pPr>
            <w:r w:rsidRPr="002672A6">
              <w:rPr>
                <w:rFonts w:cs="SimSun" w:hint="eastAsia"/>
                <w:bCs/>
                <w:color w:val="000000"/>
                <w:lang w:eastAsia="zh-CN"/>
              </w:rPr>
              <w:t>交易概况（限</w:t>
            </w:r>
            <w:r w:rsidRPr="002672A6">
              <w:rPr>
                <w:rFonts w:cs="SimSun" w:hint="eastAsia"/>
                <w:bCs/>
                <w:color w:val="000000"/>
                <w:lang w:eastAsia="zh-CN"/>
              </w:rPr>
              <w:t>200</w:t>
            </w:r>
            <w:r w:rsidRPr="002672A6">
              <w:rPr>
                <w:rFonts w:cs="SimSun" w:hint="eastAsia"/>
                <w:bCs/>
                <w:color w:val="000000"/>
                <w:lang w:eastAsia="zh-CN"/>
              </w:rPr>
              <w:t>字内）</w:t>
            </w:r>
          </w:p>
        </w:tc>
        <w:tc>
          <w:tcPr>
            <w:tcW w:w="7579" w:type="dxa"/>
            <w:gridSpan w:val="2"/>
            <w:vAlign w:val="center"/>
          </w:tcPr>
          <w:p w14:paraId="0CD80C4F" w14:textId="76A022CC" w:rsidR="007B4BC8" w:rsidRDefault="00346374" w:rsidP="002207A3">
            <w:pPr>
              <w:widowControl w:val="0"/>
              <w:adjustRightInd w:val="0"/>
              <w:snapToGrid w:val="0"/>
              <w:spacing w:after="60"/>
              <w:rPr>
                <w:rFonts w:cs="Arial"/>
                <w:bCs/>
                <w:color w:val="000000"/>
                <w:lang w:val="en-US"/>
              </w:rPr>
            </w:pPr>
            <w:r w:rsidRPr="002672A6">
              <w:rPr>
                <w:rFonts w:cs="Arial"/>
                <w:bCs/>
                <w:color w:val="000000"/>
                <w:lang w:val="en-US"/>
              </w:rPr>
              <w:t>阿瑞斯管理公司（</w:t>
            </w:r>
            <w:r w:rsidR="00280C26" w:rsidRPr="002672A6">
              <w:rPr>
                <w:rFonts w:cs="Arial" w:hint="eastAsia"/>
                <w:bCs/>
                <w:color w:val="000000"/>
                <w:lang w:val="en-US"/>
              </w:rPr>
              <w:t>“</w:t>
            </w:r>
            <w:r w:rsidRPr="002672A6">
              <w:rPr>
                <w:rFonts w:cs="Arial"/>
                <w:b/>
                <w:bCs/>
                <w:color w:val="000000"/>
                <w:lang w:val="en-US"/>
              </w:rPr>
              <w:t>阿瑞斯</w:t>
            </w:r>
            <w:r w:rsidR="00280C26" w:rsidRPr="002672A6">
              <w:rPr>
                <w:rFonts w:cs="Arial" w:hint="eastAsia"/>
                <w:bCs/>
                <w:color w:val="000000"/>
                <w:lang w:val="en-US"/>
              </w:rPr>
              <w:t>”</w:t>
            </w:r>
            <w:r w:rsidRPr="002672A6">
              <w:rPr>
                <w:rFonts w:cs="Arial"/>
                <w:bCs/>
                <w:color w:val="000000"/>
                <w:lang w:val="en-US"/>
              </w:rPr>
              <w:t>）（通过其</w:t>
            </w:r>
            <w:r w:rsidR="00C60EA6">
              <w:rPr>
                <w:rFonts w:cs="Arial" w:hint="eastAsia"/>
                <w:bCs/>
                <w:color w:val="000000"/>
                <w:lang w:val="en-US"/>
              </w:rPr>
              <w:t>受控</w:t>
            </w:r>
            <w:r w:rsidRPr="002672A6">
              <w:rPr>
                <w:rFonts w:cs="Arial"/>
                <w:bCs/>
                <w:color w:val="000000"/>
                <w:lang w:val="en-US"/>
              </w:rPr>
              <w:t>关联</w:t>
            </w:r>
            <w:r w:rsidR="00E05660">
              <w:rPr>
                <w:rFonts w:cs="Arial" w:hint="eastAsia"/>
                <w:bCs/>
                <w:color w:val="000000"/>
                <w:lang w:val="en-US"/>
              </w:rPr>
              <w:t>方</w:t>
            </w:r>
            <w:r w:rsidRPr="002672A6">
              <w:rPr>
                <w:rFonts w:cs="Arial"/>
                <w:bCs/>
                <w:color w:val="000000"/>
                <w:lang w:val="en-US"/>
              </w:rPr>
              <w:t>间接）与埃尼公司（</w:t>
            </w:r>
            <w:r w:rsidR="00280C26" w:rsidRPr="002672A6">
              <w:rPr>
                <w:rFonts w:cs="Arial" w:hint="eastAsia"/>
                <w:bCs/>
                <w:color w:val="000000"/>
                <w:lang w:val="en-US"/>
              </w:rPr>
              <w:t>“</w:t>
            </w:r>
            <w:r w:rsidRPr="002672A6">
              <w:rPr>
                <w:rFonts w:cs="Arial"/>
                <w:b/>
                <w:bCs/>
                <w:color w:val="000000"/>
                <w:lang w:val="en-US"/>
              </w:rPr>
              <w:t>埃尼</w:t>
            </w:r>
            <w:r w:rsidR="00280C26" w:rsidRPr="002672A6">
              <w:rPr>
                <w:rFonts w:cs="Arial" w:hint="eastAsia"/>
                <w:bCs/>
                <w:color w:val="000000"/>
                <w:lang w:val="en-US"/>
              </w:rPr>
              <w:t>”</w:t>
            </w:r>
            <w:r w:rsidRPr="002672A6">
              <w:rPr>
                <w:rFonts w:cs="Arial"/>
                <w:bCs/>
                <w:color w:val="000000"/>
                <w:lang w:val="en-US"/>
              </w:rPr>
              <w:t>）</w:t>
            </w:r>
            <w:r w:rsidR="006754EE">
              <w:rPr>
                <w:rFonts w:cs="Arial" w:hint="eastAsia"/>
                <w:bCs/>
                <w:color w:val="000000"/>
                <w:lang w:val="en-US"/>
              </w:rPr>
              <w:t>、</w:t>
            </w:r>
            <w:r w:rsidRPr="002672A6">
              <w:rPr>
                <w:rFonts w:cs="Arial"/>
                <w:bCs/>
                <w:color w:val="000000"/>
                <w:lang w:val="en-US"/>
              </w:rPr>
              <w:t>Eni Plenitude S.p.A. Società Benefit</w:t>
            </w:r>
            <w:r w:rsidRPr="002672A6">
              <w:rPr>
                <w:rFonts w:cs="Arial"/>
                <w:bCs/>
                <w:color w:val="000000"/>
                <w:lang w:val="en-US"/>
              </w:rPr>
              <w:t>（</w:t>
            </w:r>
            <w:r w:rsidR="00280C26" w:rsidRPr="002672A6">
              <w:rPr>
                <w:rFonts w:cs="Arial" w:hint="eastAsia"/>
                <w:bCs/>
                <w:color w:val="000000"/>
                <w:lang w:val="en-US"/>
              </w:rPr>
              <w:t>“</w:t>
            </w:r>
            <w:r w:rsidRPr="002672A6">
              <w:rPr>
                <w:rFonts w:cs="Arial"/>
                <w:b/>
                <w:bCs/>
                <w:color w:val="000000"/>
                <w:lang w:val="en-US"/>
              </w:rPr>
              <w:t>目标公司</w:t>
            </w:r>
            <w:r w:rsidR="00280C26" w:rsidRPr="002672A6">
              <w:rPr>
                <w:rFonts w:cs="Arial" w:hint="eastAsia"/>
                <w:bCs/>
                <w:color w:val="000000"/>
                <w:lang w:val="en-US"/>
              </w:rPr>
              <w:t>”</w:t>
            </w:r>
            <w:r w:rsidRPr="002672A6">
              <w:rPr>
                <w:rFonts w:cs="Arial"/>
                <w:bCs/>
                <w:color w:val="000000"/>
                <w:lang w:val="en-US"/>
              </w:rPr>
              <w:t>）</w:t>
            </w:r>
            <w:r w:rsidR="00385E7E">
              <w:rPr>
                <w:rFonts w:cs="Arial" w:hint="eastAsia"/>
                <w:bCs/>
                <w:color w:val="000000"/>
                <w:lang w:val="en-US"/>
              </w:rPr>
              <w:t>签署</w:t>
            </w:r>
            <w:r w:rsidRPr="002672A6">
              <w:rPr>
                <w:rFonts w:cs="Arial"/>
                <w:bCs/>
                <w:color w:val="000000"/>
                <w:lang w:val="en-US"/>
              </w:rPr>
              <w:t>协议，</w:t>
            </w:r>
            <w:r w:rsidR="00C90B5E" w:rsidRPr="002672A6">
              <w:rPr>
                <w:rFonts w:cs="Arial"/>
                <w:bCs/>
                <w:color w:val="000000"/>
                <w:lang w:val="en-US"/>
              </w:rPr>
              <w:t>阿瑞斯</w:t>
            </w:r>
            <w:r w:rsidRPr="002672A6">
              <w:rPr>
                <w:rFonts w:cs="Arial"/>
                <w:bCs/>
                <w:color w:val="000000"/>
                <w:lang w:val="en-US"/>
              </w:rPr>
              <w:t>将</w:t>
            </w:r>
            <w:r w:rsidR="008C4CC6">
              <w:rPr>
                <w:rFonts w:cs="Arial" w:hint="eastAsia"/>
                <w:bCs/>
                <w:color w:val="000000"/>
                <w:lang w:val="en-US"/>
              </w:rPr>
              <w:t>（在其现持有的目标公司</w:t>
            </w:r>
            <w:r w:rsidR="008C4CC6">
              <w:rPr>
                <w:rFonts w:cs="Arial" w:hint="eastAsia"/>
                <w:bCs/>
                <w:color w:val="000000"/>
                <w:lang w:val="en-US"/>
              </w:rPr>
              <w:t>20%</w:t>
            </w:r>
            <w:r w:rsidR="008C4CC6">
              <w:rPr>
                <w:rFonts w:cs="Arial" w:hint="eastAsia"/>
                <w:bCs/>
                <w:color w:val="000000"/>
                <w:lang w:val="en-US"/>
              </w:rPr>
              <w:t>股权基础上）</w:t>
            </w:r>
            <w:r w:rsidRPr="002672A6">
              <w:rPr>
                <w:rFonts w:cs="Arial"/>
                <w:bCs/>
                <w:color w:val="000000"/>
                <w:lang w:val="en-US"/>
              </w:rPr>
              <w:t>间接</w:t>
            </w:r>
            <w:r w:rsidR="00982F22">
              <w:rPr>
                <w:rFonts w:cs="Arial" w:hint="eastAsia"/>
                <w:bCs/>
                <w:color w:val="000000"/>
                <w:lang w:val="en-US"/>
              </w:rPr>
              <w:t>收购</w:t>
            </w:r>
            <w:r w:rsidRPr="002672A6">
              <w:rPr>
                <w:rFonts w:cs="Arial"/>
                <w:bCs/>
                <w:color w:val="000000"/>
                <w:lang w:val="en-US"/>
              </w:rPr>
              <w:t>目标公司约</w:t>
            </w:r>
            <w:r w:rsidRPr="002672A6">
              <w:rPr>
                <w:rFonts w:cs="Arial"/>
                <w:bCs/>
                <w:color w:val="000000"/>
                <w:lang w:val="en-US"/>
              </w:rPr>
              <w:t>6%</w:t>
            </w:r>
            <w:r w:rsidRPr="002672A6">
              <w:rPr>
                <w:rFonts w:cs="Arial"/>
                <w:bCs/>
                <w:color w:val="000000"/>
                <w:lang w:val="en-US"/>
              </w:rPr>
              <w:t>的股权。目标公司主要</w:t>
            </w:r>
            <w:r w:rsidR="00343C2D">
              <w:rPr>
                <w:rFonts w:cs="Arial" w:hint="eastAsia"/>
                <w:bCs/>
                <w:color w:val="000000"/>
                <w:lang w:val="en-US"/>
              </w:rPr>
              <w:t>在中国境外</w:t>
            </w:r>
            <w:r w:rsidRPr="002672A6">
              <w:rPr>
                <w:rFonts w:cs="Arial"/>
                <w:bCs/>
                <w:color w:val="000000"/>
                <w:lang w:val="en-US"/>
              </w:rPr>
              <w:t>从事电力生产、能源销售及能源解决方案</w:t>
            </w:r>
            <w:r w:rsidR="00280C26" w:rsidRPr="002672A6">
              <w:rPr>
                <w:rFonts w:cs="Arial" w:hint="eastAsia"/>
                <w:bCs/>
                <w:color w:val="000000"/>
                <w:lang w:val="en-US"/>
              </w:rPr>
              <w:t>。</w:t>
            </w:r>
          </w:p>
          <w:p w14:paraId="2F377C49" w14:textId="391F9D08" w:rsidR="00AB1591" w:rsidRPr="002672A6" w:rsidRDefault="00346374" w:rsidP="002207A3">
            <w:pPr>
              <w:widowControl w:val="0"/>
              <w:adjustRightInd w:val="0"/>
              <w:snapToGrid w:val="0"/>
              <w:spacing w:after="60"/>
              <w:rPr>
                <w:rFonts w:cs="Arial"/>
                <w:bCs/>
                <w:color w:val="000000"/>
                <w:lang w:val="en-US"/>
              </w:rPr>
            </w:pPr>
            <w:r w:rsidRPr="002672A6">
              <w:rPr>
                <w:rFonts w:cs="Arial"/>
                <w:bCs/>
                <w:color w:val="000000"/>
                <w:lang w:val="en-US"/>
              </w:rPr>
              <w:t>交易前，</w:t>
            </w:r>
            <w:r w:rsidR="00C90B5E" w:rsidRPr="002672A6">
              <w:rPr>
                <w:rFonts w:cs="Arial"/>
                <w:bCs/>
                <w:color w:val="000000"/>
                <w:lang w:val="en-US"/>
              </w:rPr>
              <w:t>阿瑞斯</w:t>
            </w:r>
            <w:r w:rsidR="00617A25">
              <w:rPr>
                <w:rFonts w:cs="Arial" w:hint="eastAsia"/>
                <w:bCs/>
                <w:color w:val="000000"/>
                <w:lang w:val="en-US"/>
              </w:rPr>
              <w:t>与</w:t>
            </w:r>
            <w:r w:rsidRPr="002672A6">
              <w:rPr>
                <w:rFonts w:cs="Arial"/>
                <w:bCs/>
                <w:color w:val="000000"/>
                <w:lang w:val="en-US"/>
              </w:rPr>
              <w:t>埃尼分别持有目标公司</w:t>
            </w:r>
            <w:r w:rsidR="00617A25">
              <w:rPr>
                <w:rFonts w:cs="Arial" w:hint="eastAsia"/>
                <w:bCs/>
                <w:color w:val="000000"/>
                <w:lang w:val="en-US"/>
              </w:rPr>
              <w:t>2</w:t>
            </w:r>
            <w:r w:rsidR="00617A25" w:rsidRPr="002672A6">
              <w:rPr>
                <w:rFonts w:cs="Arial"/>
                <w:bCs/>
                <w:color w:val="000000"/>
                <w:lang w:val="en-US"/>
              </w:rPr>
              <w:t>0</w:t>
            </w:r>
            <w:r w:rsidRPr="002672A6">
              <w:rPr>
                <w:rFonts w:cs="Arial"/>
                <w:bCs/>
                <w:color w:val="000000"/>
                <w:lang w:val="en-US"/>
              </w:rPr>
              <w:t>%</w:t>
            </w:r>
            <w:r w:rsidR="00617A25">
              <w:rPr>
                <w:rFonts w:cs="Arial" w:hint="eastAsia"/>
                <w:bCs/>
                <w:color w:val="000000"/>
                <w:lang w:val="en-US"/>
              </w:rPr>
              <w:t>与</w:t>
            </w:r>
            <w:r w:rsidR="00617A25">
              <w:rPr>
                <w:rFonts w:cs="Arial" w:hint="eastAsia"/>
                <w:bCs/>
                <w:color w:val="000000"/>
                <w:lang w:val="en-US"/>
              </w:rPr>
              <w:t>7</w:t>
            </w:r>
            <w:r w:rsidRPr="002672A6">
              <w:rPr>
                <w:rFonts w:cs="Arial"/>
                <w:bCs/>
                <w:color w:val="000000"/>
                <w:lang w:val="en-US"/>
              </w:rPr>
              <w:t>0%</w:t>
            </w:r>
            <w:r w:rsidRPr="002672A6">
              <w:rPr>
                <w:rFonts w:cs="Arial"/>
                <w:bCs/>
                <w:color w:val="000000"/>
                <w:lang w:val="en-US"/>
              </w:rPr>
              <w:t>的股权，埃尼单独控制</w:t>
            </w:r>
            <w:r w:rsidR="00C90B5E" w:rsidRPr="002672A6">
              <w:rPr>
                <w:rFonts w:cs="Arial"/>
                <w:bCs/>
                <w:color w:val="000000"/>
                <w:lang w:val="en-US"/>
              </w:rPr>
              <w:t>目标公司</w:t>
            </w:r>
            <w:r w:rsidRPr="002672A6">
              <w:rPr>
                <w:rFonts w:cs="Arial"/>
                <w:bCs/>
                <w:color w:val="000000"/>
                <w:lang w:val="en-US"/>
              </w:rPr>
              <w:t>。交易后，</w:t>
            </w:r>
            <w:r w:rsidR="00C90B5E" w:rsidRPr="002672A6">
              <w:rPr>
                <w:rFonts w:cs="Arial"/>
                <w:bCs/>
                <w:color w:val="000000"/>
                <w:lang w:val="en-US"/>
              </w:rPr>
              <w:t>阿瑞斯</w:t>
            </w:r>
            <w:r w:rsidR="009A79BF">
              <w:rPr>
                <w:rFonts w:cs="Arial" w:hint="eastAsia"/>
                <w:bCs/>
                <w:color w:val="000000"/>
                <w:lang w:val="en-US"/>
              </w:rPr>
              <w:t>与</w:t>
            </w:r>
            <w:r w:rsidR="00C90B5E" w:rsidRPr="002672A6">
              <w:rPr>
                <w:rFonts w:cs="Arial"/>
                <w:bCs/>
                <w:color w:val="000000"/>
                <w:lang w:val="en-US"/>
              </w:rPr>
              <w:t>埃尼</w:t>
            </w:r>
            <w:r w:rsidRPr="002672A6">
              <w:rPr>
                <w:rFonts w:cs="Arial"/>
                <w:bCs/>
                <w:color w:val="000000"/>
                <w:lang w:val="en-US"/>
              </w:rPr>
              <w:t>将分别持有目标公司约</w:t>
            </w:r>
            <w:r w:rsidRPr="002672A6">
              <w:rPr>
                <w:rFonts w:cs="Arial"/>
                <w:bCs/>
                <w:color w:val="000000"/>
                <w:lang w:val="en-US"/>
              </w:rPr>
              <w:t>26%</w:t>
            </w:r>
            <w:r w:rsidR="009A79BF">
              <w:rPr>
                <w:rFonts w:cs="Arial" w:hint="eastAsia"/>
                <w:bCs/>
                <w:color w:val="000000"/>
                <w:lang w:val="en-US"/>
              </w:rPr>
              <w:t>与</w:t>
            </w:r>
            <w:r w:rsidRPr="002672A6">
              <w:rPr>
                <w:rFonts w:cs="Arial"/>
                <w:bCs/>
                <w:color w:val="000000"/>
                <w:lang w:val="en-US"/>
              </w:rPr>
              <w:t>65%</w:t>
            </w:r>
            <w:r w:rsidRPr="002672A6">
              <w:rPr>
                <w:rFonts w:cs="Arial"/>
                <w:bCs/>
                <w:color w:val="000000"/>
                <w:lang w:val="en-US"/>
              </w:rPr>
              <w:t>的股权，共同控制目标公司。</w:t>
            </w:r>
          </w:p>
        </w:tc>
      </w:tr>
      <w:tr w:rsidR="00C90B5E" w:rsidRPr="002672A6" w14:paraId="31172F65" w14:textId="77777777" w:rsidTr="00D40F58">
        <w:trPr>
          <w:trHeight w:val="942"/>
          <w:jc w:val="center"/>
        </w:trPr>
        <w:tc>
          <w:tcPr>
            <w:tcW w:w="2061" w:type="dxa"/>
            <w:vMerge w:val="restart"/>
            <w:shd w:val="clear" w:color="auto" w:fill="D9D9D9"/>
            <w:vAlign w:val="center"/>
          </w:tcPr>
          <w:p w14:paraId="056D54E7" w14:textId="77777777" w:rsidR="00C90B5E" w:rsidRPr="002672A6" w:rsidRDefault="00C90B5E" w:rsidP="00C90B5E">
            <w:pPr>
              <w:pStyle w:val="BodyText"/>
              <w:adjustRightInd w:val="0"/>
              <w:snapToGrid w:val="0"/>
              <w:spacing w:after="0"/>
              <w:rPr>
                <w:rFonts w:cs="SimSun"/>
                <w:bCs/>
                <w:color w:val="000000"/>
                <w:lang w:val="en-US" w:eastAsia="zh-CN"/>
              </w:rPr>
            </w:pPr>
            <w:r w:rsidRPr="002672A6">
              <w:rPr>
                <w:rFonts w:cs="SimSun" w:hint="eastAsia"/>
                <w:bCs/>
                <w:color w:val="000000"/>
                <w:lang w:eastAsia="zh-CN"/>
              </w:rPr>
              <w:t>参与集中的经营者简介（每个限</w:t>
            </w:r>
            <w:r w:rsidRPr="002672A6">
              <w:rPr>
                <w:rFonts w:cs="SimSun" w:hint="eastAsia"/>
                <w:bCs/>
                <w:color w:val="000000"/>
                <w:lang w:val="en-US" w:eastAsia="zh-CN"/>
              </w:rPr>
              <w:t>100</w:t>
            </w:r>
            <w:r w:rsidRPr="002672A6">
              <w:rPr>
                <w:rFonts w:cs="SimSun" w:hint="eastAsia"/>
                <w:bCs/>
                <w:color w:val="000000"/>
                <w:lang w:val="en-US" w:eastAsia="zh-CN"/>
              </w:rPr>
              <w:t>字以内</w:t>
            </w:r>
            <w:r w:rsidRPr="002672A6">
              <w:rPr>
                <w:rFonts w:cs="SimSun" w:hint="eastAsia"/>
                <w:bCs/>
                <w:color w:val="000000"/>
                <w:lang w:eastAsia="zh-CN"/>
              </w:rPr>
              <w:t>）</w:t>
            </w:r>
          </w:p>
        </w:tc>
        <w:tc>
          <w:tcPr>
            <w:tcW w:w="1796" w:type="dxa"/>
            <w:vAlign w:val="center"/>
          </w:tcPr>
          <w:p w14:paraId="4E5ED8B1" w14:textId="00D39DBB" w:rsidR="00C90B5E" w:rsidRPr="002672A6" w:rsidRDefault="00C90B5E" w:rsidP="00C90B5E">
            <w:pPr>
              <w:pStyle w:val="BodyText"/>
              <w:adjustRightInd w:val="0"/>
              <w:snapToGrid w:val="0"/>
              <w:spacing w:after="0"/>
              <w:rPr>
                <w:rFonts w:cs="SimSun"/>
                <w:bCs/>
                <w:color w:val="000000"/>
                <w:lang w:eastAsia="zh-CN"/>
              </w:rPr>
            </w:pPr>
            <w:r w:rsidRPr="002672A6">
              <w:rPr>
                <w:rFonts w:cs="SimSun" w:hint="eastAsia"/>
                <w:bCs/>
                <w:color w:val="000000"/>
                <w:lang w:val="en-US" w:eastAsia="zh-CN"/>
              </w:rPr>
              <w:t>1.</w:t>
            </w:r>
            <w:r w:rsidRPr="002672A6">
              <w:rPr>
                <w:rFonts w:hint="eastAsia"/>
              </w:rPr>
              <w:t xml:space="preserve"> </w:t>
            </w:r>
            <w:r w:rsidRPr="002672A6">
              <w:rPr>
                <w:rFonts w:cs="SimSun" w:hint="eastAsia"/>
                <w:bCs/>
                <w:color w:val="000000"/>
                <w:lang w:val="en-US" w:eastAsia="zh-CN"/>
              </w:rPr>
              <w:t>阿瑞斯</w:t>
            </w:r>
          </w:p>
        </w:tc>
        <w:tc>
          <w:tcPr>
            <w:tcW w:w="5783" w:type="dxa"/>
          </w:tcPr>
          <w:p w14:paraId="66358873" w14:textId="2D12605E" w:rsidR="00311A0C" w:rsidRPr="002672A6" w:rsidRDefault="00311A0C" w:rsidP="00311A0C">
            <w:pPr>
              <w:widowControl w:val="0"/>
              <w:adjustRightInd w:val="0"/>
              <w:snapToGrid w:val="0"/>
              <w:spacing w:after="60"/>
              <w:rPr>
                <w:rFonts w:cs="Arial"/>
              </w:rPr>
            </w:pPr>
            <w:r w:rsidRPr="002672A6">
              <w:rPr>
                <w:rFonts w:cs="Arial"/>
              </w:rPr>
              <w:t>阿瑞斯于</w:t>
            </w:r>
            <w:r w:rsidRPr="002672A6">
              <w:rPr>
                <w:rFonts w:cs="Arial"/>
              </w:rPr>
              <w:t>2013</w:t>
            </w:r>
            <w:r w:rsidRPr="002672A6">
              <w:rPr>
                <w:rFonts w:cs="Arial"/>
              </w:rPr>
              <w:t>年在美国成立，为纽约证券交易所上市公司，主要业务为投资。</w:t>
            </w:r>
          </w:p>
          <w:p w14:paraId="3E612D64" w14:textId="178FE2B9" w:rsidR="00C90B5E" w:rsidRPr="002672A6" w:rsidRDefault="00311A0C" w:rsidP="00311A0C">
            <w:pPr>
              <w:widowControl w:val="0"/>
              <w:adjustRightInd w:val="0"/>
              <w:snapToGrid w:val="0"/>
              <w:spacing w:after="60"/>
              <w:rPr>
                <w:rFonts w:cs="Arial"/>
                <w:bCs/>
                <w:color w:val="000000"/>
              </w:rPr>
            </w:pPr>
            <w:r w:rsidRPr="002672A6">
              <w:rPr>
                <w:rFonts w:cs="Arial"/>
              </w:rPr>
              <w:t>阿瑞斯</w:t>
            </w:r>
            <w:r w:rsidR="002B0932">
              <w:rPr>
                <w:rFonts w:cs="Arial" w:hint="eastAsia"/>
              </w:rPr>
              <w:t>最终控制人为</w:t>
            </w:r>
            <w:r w:rsidR="002B0932">
              <w:rPr>
                <w:rFonts w:cs="Arial" w:hint="eastAsia"/>
              </w:rPr>
              <w:t>Ares Partners Holdco LLC</w:t>
            </w:r>
            <w:r w:rsidR="002B0932">
              <w:rPr>
                <w:rFonts w:cs="Arial" w:hint="eastAsia"/>
              </w:rPr>
              <w:t>，主要业务为通过阿瑞斯投资</w:t>
            </w:r>
            <w:r w:rsidRPr="002672A6">
              <w:rPr>
                <w:rFonts w:cs="Arial"/>
              </w:rPr>
              <w:t>。</w:t>
            </w:r>
          </w:p>
        </w:tc>
      </w:tr>
      <w:tr w:rsidR="00C90B5E" w:rsidRPr="002672A6" w14:paraId="03FED3EA" w14:textId="77777777" w:rsidTr="00D40F58">
        <w:trPr>
          <w:trHeight w:val="984"/>
          <w:jc w:val="center"/>
        </w:trPr>
        <w:tc>
          <w:tcPr>
            <w:tcW w:w="2061" w:type="dxa"/>
            <w:vMerge/>
            <w:shd w:val="clear" w:color="auto" w:fill="D9D9D9"/>
            <w:vAlign w:val="center"/>
          </w:tcPr>
          <w:p w14:paraId="6181F5E7" w14:textId="77777777" w:rsidR="00C90B5E" w:rsidRPr="002672A6" w:rsidRDefault="00C90B5E" w:rsidP="00C90B5E">
            <w:pPr>
              <w:pStyle w:val="BodyText"/>
              <w:adjustRightInd w:val="0"/>
              <w:snapToGrid w:val="0"/>
              <w:spacing w:after="0"/>
              <w:rPr>
                <w:rFonts w:cs="SimSun"/>
                <w:bCs/>
                <w:color w:val="000000"/>
                <w:lang w:val="en-US" w:eastAsia="zh-CN"/>
              </w:rPr>
            </w:pPr>
          </w:p>
        </w:tc>
        <w:tc>
          <w:tcPr>
            <w:tcW w:w="1796" w:type="dxa"/>
            <w:vAlign w:val="center"/>
          </w:tcPr>
          <w:p w14:paraId="51C3924F" w14:textId="67B50C93" w:rsidR="00C90B5E" w:rsidRPr="002672A6" w:rsidRDefault="00C90B5E" w:rsidP="00C90B5E">
            <w:pPr>
              <w:pStyle w:val="BodyText"/>
              <w:adjustRightInd w:val="0"/>
              <w:snapToGrid w:val="0"/>
              <w:spacing w:after="0"/>
              <w:rPr>
                <w:rFonts w:cs="SimSun"/>
                <w:bCs/>
                <w:color w:val="000000"/>
                <w:lang w:eastAsia="zh-CN"/>
              </w:rPr>
            </w:pPr>
            <w:r w:rsidRPr="002672A6">
              <w:rPr>
                <w:rFonts w:cs="SimSun" w:hint="eastAsia"/>
                <w:bCs/>
                <w:color w:val="000000"/>
                <w:lang w:val="en-US" w:eastAsia="zh-CN"/>
              </w:rPr>
              <w:t>2.</w:t>
            </w:r>
            <w:r w:rsidRPr="002672A6">
              <w:t xml:space="preserve"> </w:t>
            </w:r>
            <w:r w:rsidRPr="002672A6">
              <w:rPr>
                <w:rFonts w:cs="Arial" w:hint="eastAsia"/>
                <w:bCs/>
                <w:color w:val="000000"/>
                <w:lang w:val="en-US" w:eastAsia="zh-CN"/>
              </w:rPr>
              <w:t>埃尼</w:t>
            </w:r>
          </w:p>
        </w:tc>
        <w:tc>
          <w:tcPr>
            <w:tcW w:w="5783" w:type="dxa"/>
          </w:tcPr>
          <w:p w14:paraId="76B776DE" w14:textId="7C4601B0" w:rsidR="00280C26" w:rsidRPr="002672A6" w:rsidRDefault="00C90B5E" w:rsidP="00280C26">
            <w:pPr>
              <w:adjustRightInd w:val="0"/>
              <w:snapToGrid w:val="0"/>
              <w:spacing w:after="60"/>
              <w:rPr>
                <w:rFonts w:cs="Arial"/>
              </w:rPr>
            </w:pPr>
            <w:r w:rsidRPr="002672A6">
              <w:rPr>
                <w:rFonts w:cs="Arial"/>
              </w:rPr>
              <w:t>埃尼于</w:t>
            </w:r>
            <w:r w:rsidRPr="002672A6">
              <w:rPr>
                <w:rFonts w:cs="Arial"/>
              </w:rPr>
              <w:t>1953</w:t>
            </w:r>
            <w:r w:rsidRPr="002672A6">
              <w:rPr>
                <w:rFonts w:cs="Arial"/>
              </w:rPr>
              <w:t>年</w:t>
            </w:r>
            <w:r w:rsidRPr="002672A6">
              <w:rPr>
                <w:rFonts w:cs="Arial"/>
              </w:rPr>
              <w:t>2</w:t>
            </w:r>
            <w:r w:rsidRPr="002672A6">
              <w:rPr>
                <w:rFonts w:cs="Arial"/>
              </w:rPr>
              <w:t>月</w:t>
            </w:r>
            <w:r w:rsidRPr="002672A6">
              <w:rPr>
                <w:rFonts w:cs="Arial"/>
              </w:rPr>
              <w:t>10</w:t>
            </w:r>
            <w:r w:rsidRPr="002672A6">
              <w:rPr>
                <w:rFonts w:cs="Arial"/>
              </w:rPr>
              <w:t>日在意大利成立，</w:t>
            </w:r>
            <w:r w:rsidR="00280C26" w:rsidRPr="002672A6">
              <w:rPr>
                <w:rFonts w:cs="Arial"/>
              </w:rPr>
              <w:t>为</w:t>
            </w:r>
            <w:r w:rsidRPr="002672A6">
              <w:rPr>
                <w:rFonts w:cs="Arial"/>
              </w:rPr>
              <w:t>纽约证券交易所和意大利证券交易所上市公司</w:t>
            </w:r>
            <w:r w:rsidR="00280C26" w:rsidRPr="002672A6">
              <w:rPr>
                <w:rFonts w:cs="Arial"/>
              </w:rPr>
              <w:t>，</w:t>
            </w:r>
            <w:r w:rsidRPr="002672A6">
              <w:rPr>
                <w:rFonts w:cs="Arial"/>
              </w:rPr>
              <w:t>主要业务</w:t>
            </w:r>
            <w:r w:rsidR="00F53145">
              <w:rPr>
                <w:rFonts w:cs="Arial" w:hint="eastAsia"/>
              </w:rPr>
              <w:t>为</w:t>
            </w:r>
            <w:r w:rsidRPr="002672A6">
              <w:rPr>
                <w:rFonts w:cs="Arial"/>
              </w:rPr>
              <w:t>油气勘探、生产、</w:t>
            </w:r>
            <w:r w:rsidR="00025676">
              <w:rPr>
                <w:rFonts w:cs="Arial" w:hint="eastAsia"/>
              </w:rPr>
              <w:t>精炼</w:t>
            </w:r>
            <w:r w:rsidR="00280C26" w:rsidRPr="002672A6">
              <w:rPr>
                <w:rFonts w:cs="Arial"/>
              </w:rPr>
              <w:t>和</w:t>
            </w:r>
            <w:r w:rsidRPr="002672A6">
              <w:rPr>
                <w:rFonts w:cs="Arial"/>
              </w:rPr>
              <w:t>销售，电力生产</w:t>
            </w:r>
            <w:r w:rsidR="00280C26" w:rsidRPr="002672A6">
              <w:rPr>
                <w:rFonts w:cs="Arial"/>
              </w:rPr>
              <w:t>和</w:t>
            </w:r>
            <w:r w:rsidRPr="002672A6">
              <w:rPr>
                <w:rFonts w:cs="Arial"/>
              </w:rPr>
              <w:t>销售，</w:t>
            </w:r>
            <w:r w:rsidR="004F0EBB">
              <w:rPr>
                <w:rFonts w:cs="Arial" w:hint="eastAsia"/>
              </w:rPr>
              <w:t>以及</w:t>
            </w:r>
            <w:r w:rsidRPr="002672A6">
              <w:rPr>
                <w:rFonts w:cs="Arial"/>
              </w:rPr>
              <w:t>向替代能源解决方案转型。</w:t>
            </w:r>
          </w:p>
          <w:p w14:paraId="29E2FC89" w14:textId="69477DF1" w:rsidR="00280C26" w:rsidRPr="002672A6" w:rsidRDefault="00C90B5E" w:rsidP="00280C26">
            <w:pPr>
              <w:adjustRightInd w:val="0"/>
              <w:snapToGrid w:val="0"/>
              <w:spacing w:after="60"/>
              <w:rPr>
                <w:rFonts w:cs="Arial"/>
              </w:rPr>
            </w:pPr>
            <w:r w:rsidRPr="002672A6">
              <w:rPr>
                <w:rFonts w:cs="Arial"/>
              </w:rPr>
              <w:t>埃尼</w:t>
            </w:r>
            <w:r w:rsidR="00280C26" w:rsidRPr="002672A6">
              <w:rPr>
                <w:rFonts w:cs="Arial"/>
              </w:rPr>
              <w:t>的股权结构分散，</w:t>
            </w:r>
            <w:proofErr w:type="gramStart"/>
            <w:r w:rsidR="00280C26" w:rsidRPr="002672A6">
              <w:rPr>
                <w:rFonts w:cs="Arial"/>
              </w:rPr>
              <w:t>无</w:t>
            </w:r>
            <w:r w:rsidRPr="002672A6">
              <w:rPr>
                <w:rFonts w:cs="Arial"/>
              </w:rPr>
              <w:t>最终</w:t>
            </w:r>
            <w:proofErr w:type="gramEnd"/>
            <w:r w:rsidRPr="002672A6">
              <w:rPr>
                <w:rFonts w:cs="Arial"/>
              </w:rPr>
              <w:t>控制人。</w:t>
            </w:r>
          </w:p>
        </w:tc>
      </w:tr>
      <w:tr w:rsidR="00AB1591" w:rsidRPr="002672A6" w14:paraId="501E4A19" w14:textId="77777777" w:rsidTr="00D758F5">
        <w:trPr>
          <w:trHeight w:val="367"/>
          <w:jc w:val="center"/>
        </w:trPr>
        <w:tc>
          <w:tcPr>
            <w:tcW w:w="2061" w:type="dxa"/>
            <w:vMerge w:val="restart"/>
            <w:shd w:val="clear" w:color="auto" w:fill="D9D9D9"/>
            <w:vAlign w:val="center"/>
          </w:tcPr>
          <w:p w14:paraId="621457B3" w14:textId="77777777" w:rsidR="00AB1591" w:rsidRPr="002672A6" w:rsidRDefault="00AB1591" w:rsidP="00D758F5">
            <w:pPr>
              <w:pStyle w:val="BodyText"/>
              <w:adjustRightInd w:val="0"/>
              <w:snapToGrid w:val="0"/>
              <w:spacing w:after="0"/>
              <w:rPr>
                <w:rFonts w:cs="SimSun"/>
                <w:bCs/>
                <w:color w:val="000000"/>
                <w:lang w:val="en-US" w:eastAsia="zh-CN"/>
              </w:rPr>
            </w:pPr>
            <w:r w:rsidRPr="002672A6">
              <w:rPr>
                <w:rFonts w:cs="SimSun" w:hint="eastAsia"/>
                <w:bCs/>
                <w:color w:val="000000"/>
                <w:lang w:eastAsia="zh-CN"/>
              </w:rPr>
              <w:t>简易案件理由（可以单选，也可以多选）</w:t>
            </w:r>
          </w:p>
        </w:tc>
        <w:tc>
          <w:tcPr>
            <w:tcW w:w="7579" w:type="dxa"/>
            <w:gridSpan w:val="2"/>
            <w:vAlign w:val="center"/>
          </w:tcPr>
          <w:p w14:paraId="417567DC" w14:textId="720E224F" w:rsidR="00AB1591" w:rsidRPr="002672A6" w:rsidRDefault="00C840B8" w:rsidP="004371F0">
            <w:pPr>
              <w:pStyle w:val="BodyText"/>
              <w:adjustRightInd w:val="0"/>
              <w:snapToGrid w:val="0"/>
              <w:spacing w:after="0"/>
              <w:jc w:val="left"/>
              <w:rPr>
                <w:rFonts w:cs="SimSun"/>
                <w:bCs/>
                <w:color w:val="000000"/>
                <w:lang w:val="en-US" w:eastAsia="zh-CN"/>
              </w:rPr>
            </w:pPr>
            <w:r w:rsidRPr="002672A6">
              <w:rPr>
                <w:rFonts w:cs="SimSun" w:hint="eastAsia"/>
                <w:bCs/>
                <w:color w:val="000000"/>
                <w:lang w:eastAsia="zh-CN"/>
              </w:rPr>
              <w:sym w:font="Wingdings" w:char="00A8"/>
            </w:r>
            <w:r w:rsidR="00AB1591" w:rsidRPr="002672A6">
              <w:rPr>
                <w:rFonts w:cs="SimSun" w:hint="eastAsia"/>
                <w:bCs/>
                <w:color w:val="000000"/>
                <w:lang w:eastAsia="zh-CN"/>
              </w:rPr>
              <w:t xml:space="preserve"> 1.</w:t>
            </w:r>
            <w:r w:rsidR="00AB1591" w:rsidRPr="002672A6">
              <w:rPr>
                <w:rFonts w:cs="SimSun" w:hint="eastAsia"/>
                <w:bCs/>
                <w:color w:val="000000"/>
                <w:lang w:eastAsia="zh-CN"/>
              </w:rPr>
              <w:t>在同一相关市场，参与集中的经营者所占的市场份额之和小于</w:t>
            </w:r>
            <w:r w:rsidR="00AB1591" w:rsidRPr="002672A6">
              <w:rPr>
                <w:rFonts w:cs="SimSun" w:hint="eastAsia"/>
                <w:bCs/>
                <w:color w:val="000000"/>
                <w:lang w:eastAsia="zh-CN"/>
              </w:rPr>
              <w:t>15%</w:t>
            </w:r>
            <w:r w:rsidR="00AB1591" w:rsidRPr="002672A6">
              <w:rPr>
                <w:rFonts w:cs="SimSun" w:hint="eastAsia"/>
                <w:bCs/>
                <w:color w:val="000000"/>
                <w:lang w:eastAsia="zh-CN"/>
              </w:rPr>
              <w:t>。</w:t>
            </w:r>
          </w:p>
        </w:tc>
      </w:tr>
      <w:tr w:rsidR="00AB1591" w:rsidRPr="002672A6" w14:paraId="0A058781" w14:textId="77777777" w:rsidTr="00D758F5">
        <w:trPr>
          <w:trHeight w:val="163"/>
          <w:jc w:val="center"/>
        </w:trPr>
        <w:tc>
          <w:tcPr>
            <w:tcW w:w="2061" w:type="dxa"/>
            <w:vMerge/>
            <w:shd w:val="clear" w:color="auto" w:fill="D9D9D9"/>
            <w:vAlign w:val="center"/>
          </w:tcPr>
          <w:p w14:paraId="350D7F7E" w14:textId="77777777" w:rsidR="00AB1591" w:rsidRPr="002672A6" w:rsidRDefault="00AB1591" w:rsidP="00D758F5">
            <w:pPr>
              <w:pStyle w:val="BodyText"/>
              <w:adjustRightInd w:val="0"/>
              <w:snapToGrid w:val="0"/>
              <w:spacing w:after="0"/>
              <w:rPr>
                <w:rFonts w:cs="SimSun"/>
                <w:bCs/>
                <w:color w:val="000000"/>
                <w:lang w:val="en-US" w:eastAsia="zh-CN"/>
              </w:rPr>
            </w:pPr>
          </w:p>
        </w:tc>
        <w:tc>
          <w:tcPr>
            <w:tcW w:w="7579" w:type="dxa"/>
            <w:gridSpan w:val="2"/>
            <w:vAlign w:val="center"/>
          </w:tcPr>
          <w:p w14:paraId="61E0D984" w14:textId="6F1080C4" w:rsidR="00AB1591" w:rsidRPr="002672A6" w:rsidRDefault="002703AE" w:rsidP="004371F0">
            <w:pPr>
              <w:pStyle w:val="BodyText"/>
              <w:adjustRightInd w:val="0"/>
              <w:snapToGrid w:val="0"/>
              <w:spacing w:after="0"/>
              <w:jc w:val="left"/>
              <w:rPr>
                <w:rFonts w:cs="SimSun"/>
                <w:bCs/>
                <w:color w:val="000000"/>
                <w:lang w:val="en-US" w:eastAsia="zh-CN"/>
              </w:rPr>
            </w:pPr>
            <w:r w:rsidRPr="002672A6">
              <w:rPr>
                <w:rFonts w:cs="SimSun" w:hint="eastAsia"/>
                <w:bCs/>
                <w:color w:val="000000"/>
                <w:lang w:eastAsia="zh-CN"/>
              </w:rPr>
              <w:sym w:font="Wingdings" w:char="00A8"/>
            </w:r>
            <w:r w:rsidR="00AB1591" w:rsidRPr="002672A6">
              <w:rPr>
                <w:rFonts w:cs="SimSun" w:hint="eastAsia"/>
                <w:bCs/>
                <w:color w:val="000000"/>
                <w:lang w:eastAsia="zh-CN"/>
              </w:rPr>
              <w:t xml:space="preserve"> 2.</w:t>
            </w:r>
            <w:r w:rsidR="00AB1591" w:rsidRPr="002672A6">
              <w:rPr>
                <w:rFonts w:cs="SimSun" w:hint="eastAsia"/>
                <w:bCs/>
                <w:color w:val="000000"/>
                <w:lang w:eastAsia="zh-CN"/>
              </w:rPr>
              <w:t>在上下游市场，参与集中的经营者所占的市场份额均小于</w:t>
            </w:r>
            <w:r w:rsidR="00AB1591" w:rsidRPr="002672A6">
              <w:rPr>
                <w:rFonts w:cs="SimSun" w:hint="eastAsia"/>
                <w:bCs/>
                <w:color w:val="000000"/>
                <w:lang w:eastAsia="zh-CN"/>
              </w:rPr>
              <w:t>25%</w:t>
            </w:r>
            <w:r w:rsidR="00AB1591" w:rsidRPr="002672A6">
              <w:rPr>
                <w:rFonts w:cs="SimSun" w:hint="eastAsia"/>
                <w:bCs/>
                <w:color w:val="000000"/>
                <w:lang w:eastAsia="zh-CN"/>
              </w:rPr>
              <w:t>。</w:t>
            </w:r>
          </w:p>
        </w:tc>
      </w:tr>
      <w:tr w:rsidR="00AB1591" w:rsidRPr="002672A6" w14:paraId="19E202C9" w14:textId="77777777" w:rsidTr="00D758F5">
        <w:trPr>
          <w:trHeight w:val="267"/>
          <w:jc w:val="center"/>
        </w:trPr>
        <w:tc>
          <w:tcPr>
            <w:tcW w:w="2061" w:type="dxa"/>
            <w:vMerge/>
            <w:shd w:val="clear" w:color="auto" w:fill="D9D9D9"/>
            <w:vAlign w:val="center"/>
          </w:tcPr>
          <w:p w14:paraId="112C1E95" w14:textId="77777777" w:rsidR="00AB1591" w:rsidRPr="002672A6" w:rsidRDefault="00AB1591" w:rsidP="00D758F5">
            <w:pPr>
              <w:pStyle w:val="BodyText"/>
              <w:adjustRightInd w:val="0"/>
              <w:snapToGrid w:val="0"/>
              <w:spacing w:after="0"/>
              <w:rPr>
                <w:rFonts w:cs="SimSun"/>
                <w:bCs/>
                <w:color w:val="000000"/>
                <w:lang w:val="en-US" w:eastAsia="zh-CN"/>
              </w:rPr>
            </w:pPr>
          </w:p>
        </w:tc>
        <w:tc>
          <w:tcPr>
            <w:tcW w:w="7579" w:type="dxa"/>
            <w:gridSpan w:val="2"/>
            <w:vAlign w:val="center"/>
          </w:tcPr>
          <w:p w14:paraId="649DEEE0" w14:textId="77777777" w:rsidR="00AB1591" w:rsidRPr="002672A6" w:rsidRDefault="00AB1591" w:rsidP="004371F0">
            <w:pPr>
              <w:pStyle w:val="BodyText"/>
              <w:adjustRightInd w:val="0"/>
              <w:snapToGrid w:val="0"/>
              <w:spacing w:after="0"/>
              <w:jc w:val="left"/>
              <w:rPr>
                <w:rFonts w:cs="SimSun"/>
                <w:bCs/>
                <w:color w:val="000000"/>
                <w:lang w:val="en-US" w:eastAsia="zh-CN"/>
              </w:rPr>
            </w:pPr>
            <w:r w:rsidRPr="002672A6">
              <w:rPr>
                <w:rFonts w:cs="SimSun" w:hint="eastAsia"/>
                <w:bCs/>
                <w:color w:val="000000"/>
                <w:lang w:eastAsia="zh-CN"/>
              </w:rPr>
              <w:sym w:font="Wingdings" w:char="00A8"/>
            </w:r>
            <w:r w:rsidRPr="002672A6">
              <w:rPr>
                <w:rFonts w:cs="SimSun" w:hint="eastAsia"/>
                <w:bCs/>
                <w:color w:val="000000"/>
                <w:lang w:eastAsia="zh-CN"/>
              </w:rPr>
              <w:t xml:space="preserve"> 3.</w:t>
            </w:r>
            <w:r w:rsidRPr="002672A6">
              <w:rPr>
                <w:rFonts w:cs="SimSun" w:hint="eastAsia"/>
                <w:bCs/>
                <w:color w:val="000000"/>
                <w:lang w:eastAsia="zh-CN"/>
              </w:rPr>
              <w:t>不在同一相关市场也不存在上下游关系的参与集中的经营者，在与交易有关的每个市场所占的市场份额均小于</w:t>
            </w:r>
            <w:r w:rsidRPr="002672A6">
              <w:rPr>
                <w:rFonts w:cs="SimSun" w:hint="eastAsia"/>
                <w:bCs/>
                <w:color w:val="000000"/>
                <w:lang w:eastAsia="zh-CN"/>
              </w:rPr>
              <w:t>25%</w:t>
            </w:r>
            <w:r w:rsidRPr="002672A6">
              <w:rPr>
                <w:rFonts w:cs="SimSun" w:hint="eastAsia"/>
                <w:bCs/>
                <w:color w:val="000000"/>
                <w:lang w:eastAsia="zh-CN"/>
              </w:rPr>
              <w:t>。</w:t>
            </w:r>
          </w:p>
        </w:tc>
      </w:tr>
      <w:tr w:rsidR="00AB1591" w:rsidRPr="002672A6" w14:paraId="496AF483" w14:textId="77777777" w:rsidTr="00D758F5">
        <w:trPr>
          <w:trHeight w:val="617"/>
          <w:jc w:val="center"/>
        </w:trPr>
        <w:tc>
          <w:tcPr>
            <w:tcW w:w="2061" w:type="dxa"/>
            <w:vMerge/>
            <w:shd w:val="clear" w:color="auto" w:fill="D9D9D9"/>
            <w:vAlign w:val="center"/>
          </w:tcPr>
          <w:p w14:paraId="0E9192B8" w14:textId="77777777" w:rsidR="00AB1591" w:rsidRPr="002672A6" w:rsidRDefault="00AB1591" w:rsidP="00D758F5">
            <w:pPr>
              <w:pStyle w:val="BodyText"/>
              <w:adjustRightInd w:val="0"/>
              <w:snapToGrid w:val="0"/>
              <w:spacing w:after="0"/>
              <w:rPr>
                <w:rFonts w:cs="SimSun"/>
                <w:bCs/>
                <w:color w:val="000000"/>
                <w:lang w:val="en-US" w:eastAsia="zh-CN"/>
              </w:rPr>
            </w:pPr>
          </w:p>
        </w:tc>
        <w:tc>
          <w:tcPr>
            <w:tcW w:w="7579" w:type="dxa"/>
            <w:gridSpan w:val="2"/>
            <w:vAlign w:val="center"/>
          </w:tcPr>
          <w:p w14:paraId="01B64B14" w14:textId="0769D186" w:rsidR="00AB1591" w:rsidRPr="002672A6" w:rsidRDefault="00C90B5E" w:rsidP="004371F0">
            <w:pPr>
              <w:pStyle w:val="BodyText"/>
              <w:pageBreakBefore/>
              <w:widowControl w:val="0"/>
              <w:adjustRightInd w:val="0"/>
              <w:snapToGrid w:val="0"/>
              <w:spacing w:after="0"/>
              <w:jc w:val="left"/>
              <w:rPr>
                <w:rFonts w:cs="SimSun"/>
                <w:bCs/>
                <w:color w:val="000000"/>
                <w:lang w:val="en-US" w:eastAsia="zh-CN"/>
              </w:rPr>
            </w:pPr>
            <w:r w:rsidRPr="002672A6">
              <w:rPr>
                <w:rFonts w:cs="SimSun" w:hint="eastAsia"/>
                <w:bCs/>
                <w:color w:val="000000"/>
                <w:lang w:eastAsia="zh-CN"/>
              </w:rPr>
              <w:sym w:font="Wingdings" w:char="00A8"/>
            </w:r>
            <w:r w:rsidR="00AB1591" w:rsidRPr="002672A6">
              <w:rPr>
                <w:rFonts w:cs="SimSun" w:hint="eastAsia"/>
                <w:bCs/>
                <w:color w:val="000000"/>
                <w:lang w:eastAsia="zh-CN"/>
              </w:rPr>
              <w:t xml:space="preserve"> 4.</w:t>
            </w:r>
            <w:r w:rsidR="00AB1591" w:rsidRPr="002672A6">
              <w:rPr>
                <w:rFonts w:cs="SimSun" w:hint="eastAsia"/>
                <w:bCs/>
                <w:color w:val="000000"/>
                <w:lang w:eastAsia="zh-CN"/>
              </w:rPr>
              <w:t>参与集中的经营者在中国境外设立合营企业，合营企业不在中国境内从事经济活动。</w:t>
            </w:r>
          </w:p>
        </w:tc>
      </w:tr>
      <w:tr w:rsidR="00AB1591" w:rsidRPr="002672A6" w14:paraId="7734741B" w14:textId="77777777" w:rsidTr="00D758F5">
        <w:trPr>
          <w:trHeight w:val="285"/>
          <w:jc w:val="center"/>
        </w:trPr>
        <w:tc>
          <w:tcPr>
            <w:tcW w:w="2061" w:type="dxa"/>
            <w:vMerge/>
            <w:shd w:val="clear" w:color="auto" w:fill="D9D9D9"/>
            <w:vAlign w:val="center"/>
          </w:tcPr>
          <w:p w14:paraId="273332EA" w14:textId="77777777" w:rsidR="00AB1591" w:rsidRPr="002672A6" w:rsidRDefault="00AB1591" w:rsidP="00D758F5">
            <w:pPr>
              <w:pStyle w:val="BodyText"/>
              <w:adjustRightInd w:val="0"/>
              <w:snapToGrid w:val="0"/>
              <w:spacing w:after="0"/>
              <w:rPr>
                <w:rFonts w:cs="SimSun"/>
                <w:bCs/>
                <w:color w:val="000000"/>
                <w:lang w:val="en-US" w:eastAsia="zh-CN"/>
              </w:rPr>
            </w:pPr>
          </w:p>
        </w:tc>
        <w:tc>
          <w:tcPr>
            <w:tcW w:w="7579" w:type="dxa"/>
            <w:gridSpan w:val="2"/>
            <w:vAlign w:val="center"/>
          </w:tcPr>
          <w:p w14:paraId="72350602" w14:textId="177453CB" w:rsidR="00AB1591" w:rsidRPr="002672A6" w:rsidRDefault="00C90B5E" w:rsidP="004371F0">
            <w:pPr>
              <w:pStyle w:val="BodyText"/>
              <w:adjustRightInd w:val="0"/>
              <w:snapToGrid w:val="0"/>
              <w:spacing w:after="0"/>
              <w:jc w:val="left"/>
              <w:rPr>
                <w:rFonts w:cs="SimSun"/>
                <w:bCs/>
                <w:color w:val="000000"/>
                <w:lang w:val="en-US" w:eastAsia="zh-CN"/>
              </w:rPr>
            </w:pPr>
            <w:r w:rsidRPr="002672A6">
              <w:rPr>
                <w:rFonts w:cs="SimSun" w:hint="eastAsia"/>
                <w:bCs/>
                <w:color w:val="000000"/>
                <w:lang w:eastAsia="zh-CN"/>
              </w:rPr>
              <w:sym w:font="Wingdings" w:char="00FE"/>
            </w:r>
            <w:r w:rsidR="00AB1591" w:rsidRPr="002672A6">
              <w:rPr>
                <w:rFonts w:cs="SimSun" w:hint="eastAsia"/>
                <w:bCs/>
                <w:color w:val="000000"/>
                <w:lang w:eastAsia="zh-CN"/>
              </w:rPr>
              <w:t xml:space="preserve"> 5.</w:t>
            </w:r>
            <w:r w:rsidR="00AB1591" w:rsidRPr="002672A6">
              <w:rPr>
                <w:rFonts w:cs="SimSun" w:hint="eastAsia"/>
                <w:bCs/>
                <w:color w:val="000000"/>
                <w:lang w:eastAsia="zh-CN"/>
              </w:rPr>
              <w:t>参与集中的经营者收购境外企业股权或资产的，该境外企业不在中国境内从事经济活动。</w:t>
            </w:r>
          </w:p>
        </w:tc>
      </w:tr>
      <w:tr w:rsidR="00AB1591" w:rsidRPr="002672A6" w14:paraId="7849EFAA" w14:textId="77777777" w:rsidTr="00D758F5">
        <w:trPr>
          <w:trHeight w:val="345"/>
          <w:jc w:val="center"/>
        </w:trPr>
        <w:tc>
          <w:tcPr>
            <w:tcW w:w="2061" w:type="dxa"/>
            <w:vMerge/>
            <w:shd w:val="clear" w:color="auto" w:fill="D9D9D9"/>
            <w:vAlign w:val="center"/>
          </w:tcPr>
          <w:p w14:paraId="325739E7" w14:textId="77777777" w:rsidR="00AB1591" w:rsidRPr="002672A6" w:rsidRDefault="00AB1591" w:rsidP="00D758F5">
            <w:pPr>
              <w:pStyle w:val="BodyText"/>
              <w:adjustRightInd w:val="0"/>
              <w:snapToGrid w:val="0"/>
              <w:spacing w:after="0"/>
              <w:rPr>
                <w:rFonts w:cs="SimSun"/>
                <w:bCs/>
                <w:color w:val="000000"/>
                <w:lang w:val="en-US" w:eastAsia="zh-CN"/>
              </w:rPr>
            </w:pPr>
          </w:p>
        </w:tc>
        <w:tc>
          <w:tcPr>
            <w:tcW w:w="7579" w:type="dxa"/>
            <w:gridSpan w:val="2"/>
            <w:vAlign w:val="center"/>
          </w:tcPr>
          <w:p w14:paraId="575523C4" w14:textId="77777777" w:rsidR="00AB1591" w:rsidRPr="002672A6" w:rsidRDefault="00AB1591" w:rsidP="004371F0">
            <w:pPr>
              <w:pStyle w:val="BodyText"/>
              <w:adjustRightInd w:val="0"/>
              <w:snapToGrid w:val="0"/>
              <w:spacing w:after="0"/>
              <w:jc w:val="left"/>
              <w:rPr>
                <w:rFonts w:cs="SimSun"/>
                <w:bCs/>
                <w:color w:val="000000"/>
                <w:lang w:val="en-US" w:eastAsia="zh-CN"/>
              </w:rPr>
            </w:pPr>
            <w:r w:rsidRPr="002672A6">
              <w:rPr>
                <w:rFonts w:cs="SimSun" w:hint="eastAsia"/>
                <w:bCs/>
                <w:color w:val="000000"/>
                <w:lang w:eastAsia="zh-CN"/>
              </w:rPr>
              <w:sym w:font="Wingdings" w:char="00A8"/>
            </w:r>
            <w:r w:rsidRPr="002672A6">
              <w:rPr>
                <w:rFonts w:cs="SimSun" w:hint="eastAsia"/>
                <w:bCs/>
                <w:color w:val="000000"/>
                <w:lang w:eastAsia="zh-CN"/>
              </w:rPr>
              <w:t xml:space="preserve"> 6.</w:t>
            </w:r>
            <w:r w:rsidRPr="002672A6">
              <w:rPr>
                <w:rFonts w:cs="SimSun" w:hint="eastAsia"/>
                <w:bCs/>
                <w:color w:val="000000"/>
                <w:lang w:eastAsia="zh-CN"/>
              </w:rPr>
              <w:t>由两个以上的经营者共同控制的合营企业，通过集中被其中一个或一个以上经营者控制。</w:t>
            </w:r>
          </w:p>
        </w:tc>
      </w:tr>
      <w:tr w:rsidR="00AB1591" w:rsidRPr="002672A6" w14:paraId="766EFD51" w14:textId="77777777" w:rsidTr="002207A3">
        <w:trPr>
          <w:trHeight w:val="674"/>
          <w:jc w:val="center"/>
        </w:trPr>
        <w:tc>
          <w:tcPr>
            <w:tcW w:w="2061" w:type="dxa"/>
            <w:shd w:val="clear" w:color="auto" w:fill="D9D9D9"/>
            <w:vAlign w:val="center"/>
          </w:tcPr>
          <w:p w14:paraId="477C4850" w14:textId="77777777" w:rsidR="00AB1591" w:rsidRPr="002672A6" w:rsidRDefault="00AB1591" w:rsidP="00D758F5">
            <w:pPr>
              <w:pStyle w:val="BodyText"/>
              <w:adjustRightInd w:val="0"/>
              <w:snapToGrid w:val="0"/>
              <w:spacing w:after="0"/>
              <w:rPr>
                <w:rFonts w:cs="SimSun"/>
                <w:bCs/>
                <w:color w:val="000000"/>
                <w:lang w:val="en-US" w:eastAsia="zh-CN"/>
              </w:rPr>
            </w:pPr>
            <w:r w:rsidRPr="002672A6">
              <w:rPr>
                <w:rFonts w:cs="SimSun" w:hint="eastAsia"/>
                <w:bCs/>
                <w:color w:val="000000"/>
                <w:lang w:val="en-US" w:eastAsia="zh-CN"/>
              </w:rPr>
              <w:t>备注</w:t>
            </w:r>
          </w:p>
        </w:tc>
        <w:tc>
          <w:tcPr>
            <w:tcW w:w="7579" w:type="dxa"/>
            <w:gridSpan w:val="2"/>
            <w:vAlign w:val="center"/>
          </w:tcPr>
          <w:p w14:paraId="70187C8C" w14:textId="356E6F4F" w:rsidR="00AB1591" w:rsidRPr="002672A6" w:rsidRDefault="00C840B8" w:rsidP="00D758F5">
            <w:pPr>
              <w:pStyle w:val="BodyText"/>
              <w:adjustRightInd w:val="0"/>
              <w:snapToGrid w:val="0"/>
              <w:spacing w:after="0"/>
              <w:rPr>
                <w:rFonts w:cs="SimSun"/>
                <w:bCs/>
                <w:color w:val="000000"/>
              </w:rPr>
            </w:pPr>
            <w:r w:rsidRPr="002672A6">
              <w:rPr>
                <w:rFonts w:cs="SimSun" w:hint="eastAsia"/>
                <w:bCs/>
                <w:color w:val="000000"/>
                <w:lang w:eastAsia="zh-CN"/>
              </w:rPr>
              <w:t>不适用</w:t>
            </w:r>
          </w:p>
        </w:tc>
      </w:tr>
    </w:tbl>
    <w:p w14:paraId="0D8914B2" w14:textId="43E3242E" w:rsidR="00AB1591" w:rsidRPr="00F372D2" w:rsidRDefault="00AB1591" w:rsidP="00F372D2">
      <w:pPr>
        <w:pStyle w:val="BodyText"/>
        <w:adjustRightInd w:val="0"/>
        <w:snapToGrid w:val="0"/>
        <w:spacing w:after="0"/>
        <w:rPr>
          <w:rFonts w:ascii="SimSun" w:hAnsi="SimSun" w:cs="SimSun"/>
          <w:bCs/>
          <w:color w:val="000000"/>
          <w:lang w:eastAsia="zh-CN"/>
        </w:rPr>
      </w:pPr>
    </w:p>
    <w:sectPr w:rsidR="00AB1591" w:rsidRPr="00F372D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276" w:left="1440" w:header="720" w:footer="3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D6584B" w14:textId="77777777" w:rsidR="006C5090" w:rsidRDefault="006C5090">
      <w:pPr>
        <w:spacing w:after="0"/>
      </w:pPr>
      <w:r>
        <w:separator/>
      </w:r>
    </w:p>
  </w:endnote>
  <w:endnote w:type="continuationSeparator" w:id="0">
    <w:p w14:paraId="20912D3B" w14:textId="77777777" w:rsidR="006C5090" w:rsidRDefault="006C5090">
      <w:pPr>
        <w:spacing w:after="0"/>
      </w:pPr>
      <w:r>
        <w:continuationSeparator/>
      </w:r>
    </w:p>
  </w:endnote>
  <w:endnote w:type="continuationNotice" w:id="1">
    <w:p w14:paraId="7AE48E96" w14:textId="77777777" w:rsidR="006C5090" w:rsidRDefault="006C5090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angSong_GB2312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268F7" w14:textId="77777777" w:rsidR="008C4CC6" w:rsidRDefault="008C4C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C792E" w14:textId="77777777" w:rsidR="008C4CC6" w:rsidRDefault="008C4CC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BD271" w14:textId="77777777" w:rsidR="008C4CC6" w:rsidRDefault="008C4C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05A25D" w14:textId="77777777" w:rsidR="006C5090" w:rsidRDefault="006C5090">
      <w:pPr>
        <w:spacing w:after="0"/>
      </w:pPr>
      <w:r>
        <w:separator/>
      </w:r>
    </w:p>
  </w:footnote>
  <w:footnote w:type="continuationSeparator" w:id="0">
    <w:p w14:paraId="251D6762" w14:textId="77777777" w:rsidR="006C5090" w:rsidRDefault="006C5090">
      <w:pPr>
        <w:spacing w:after="0"/>
      </w:pPr>
      <w:r>
        <w:continuationSeparator/>
      </w:r>
    </w:p>
  </w:footnote>
  <w:footnote w:type="continuationNotice" w:id="1">
    <w:p w14:paraId="3811D8B6" w14:textId="77777777" w:rsidR="006C5090" w:rsidRDefault="006C5090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49D11" w14:textId="77777777" w:rsidR="008C4CC6" w:rsidRDefault="008C4C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126CA" w14:textId="77777777" w:rsidR="008C4CC6" w:rsidRDefault="008C4C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C985CA" w14:textId="77777777" w:rsidR="008C4CC6" w:rsidRDefault="008C4CC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195CAD"/>
    <w:multiLevelType w:val="multilevel"/>
    <w:tmpl w:val="25195CAD"/>
    <w:lvl w:ilvl="0">
      <w:start w:val="1"/>
      <w:numFmt w:val="bullet"/>
      <w:lvlText w:val="·"/>
      <w:lvlJc w:val="left"/>
      <w:pPr>
        <w:tabs>
          <w:tab w:val="num" w:pos="720"/>
        </w:tabs>
        <w:ind w:left="72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>
      <w:start w:val="1"/>
      <w:numFmt w:val="bullet"/>
      <w:lvlRestart w:val="0"/>
      <w:lvlText w:val="·"/>
      <w:lvlJc w:val="left"/>
      <w:pPr>
        <w:tabs>
          <w:tab w:val="num" w:pos="1440"/>
        </w:tabs>
        <w:ind w:left="144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>
      <w:start w:val="1"/>
      <w:numFmt w:val="bullet"/>
      <w:lvlRestart w:val="0"/>
      <w:lvlText w:val="·"/>
      <w:lvlJc w:val="left"/>
      <w:pPr>
        <w:tabs>
          <w:tab w:val="num" w:pos="2160"/>
        </w:tabs>
        <w:ind w:left="216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3">
      <w:start w:val="1"/>
      <w:numFmt w:val="bullet"/>
      <w:lvlRestart w:val="0"/>
      <w:lvlText w:val="·"/>
      <w:lvlJc w:val="left"/>
      <w:pPr>
        <w:tabs>
          <w:tab w:val="num" w:pos="2880"/>
        </w:tabs>
        <w:ind w:left="288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bullet"/>
      <w:lvlRestart w:val="0"/>
      <w:lvlText w:val="·"/>
      <w:lvlJc w:val="left"/>
      <w:pPr>
        <w:tabs>
          <w:tab w:val="num" w:pos="3600"/>
        </w:tabs>
        <w:ind w:left="360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>
      <w:start w:val="1"/>
      <w:numFmt w:val="bullet"/>
      <w:lvlRestart w:val="0"/>
      <w:lvlText w:val="·"/>
      <w:lvlJc w:val="left"/>
      <w:pPr>
        <w:tabs>
          <w:tab w:val="num" w:pos="4320"/>
        </w:tabs>
        <w:ind w:left="432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>
      <w:start w:val="1"/>
      <w:numFmt w:val="bullet"/>
      <w:lvlRestart w:val="0"/>
      <w:lvlText w:val="·"/>
      <w:lvlJc w:val="left"/>
      <w:pPr>
        <w:tabs>
          <w:tab w:val="num" w:pos="5040"/>
        </w:tabs>
        <w:ind w:left="504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>
      <w:start w:val="1"/>
      <w:numFmt w:val="none"/>
      <w:lvlRestart w:val="0"/>
      <w:suff w:val="nothing"/>
      <w:lvlText w:val=""/>
      <w:lvlJc w:val="left"/>
      <w:pPr>
        <w:tabs>
          <w:tab w:val="num" w:pos="0"/>
        </w:tabs>
        <w:ind w:left="1" w:firstLine="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8">
      <w:start w:val="1"/>
      <w:numFmt w:val="none"/>
      <w:lvlRestart w:val="0"/>
      <w:suff w:val="nothing"/>
      <w:lvlText w:val=""/>
      <w:lvlJc w:val="left"/>
      <w:pPr>
        <w:tabs>
          <w:tab w:val="num" w:pos="0"/>
        </w:tabs>
        <w:ind w:left="1" w:firstLine="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</w:abstractNum>
  <w:abstractNum w:abstractNumId="1" w15:restartNumberingAfterBreak="0">
    <w:nsid w:val="4F0244F7"/>
    <w:multiLevelType w:val="multilevel"/>
    <w:tmpl w:val="4F0244F7"/>
    <w:lvl w:ilvl="0">
      <w:start w:val="1"/>
      <w:numFmt w:val="decimal"/>
      <w:lvlText w:val="%1)"/>
      <w:lvlJc w:val="left"/>
      <w:pPr>
        <w:ind w:left="644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6B4F0377"/>
    <w:multiLevelType w:val="multilevel"/>
    <w:tmpl w:val="6B4F0377"/>
    <w:lvl w:ilvl="0">
      <w:start w:val="1"/>
      <w:numFmt w:val="decimal"/>
      <w:isLgl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3">
      <w:start w:val="1"/>
      <w:numFmt w:val="lowerLetter"/>
      <w:lvlText w:val="(%4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lowerRoman"/>
      <w:lvlText w:val="(%5)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>
      <w:start w:val="1"/>
      <w:numFmt w:val="upperLetter"/>
      <w:lvlText w:val="(%6)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>
      <w:start w:val="1"/>
      <w:numFmt w:val="decimal"/>
      <w:lvlText w:val="(%7)"/>
      <w:lvlJc w:val="left"/>
      <w:pPr>
        <w:tabs>
          <w:tab w:val="num" w:pos="4320"/>
        </w:tabs>
        <w:ind w:left="4321" w:hanging="721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>
      <w:start w:val="1"/>
      <w:numFmt w:val="lowerLetter"/>
      <w:lvlRestart w:val="2"/>
      <w:lvlText w:val="(%8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8">
      <w:start w:val="1"/>
      <w:numFmt w:val="lowerRoman"/>
      <w:lvlText w:val="(%9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</w:abstractNum>
  <w:num w:numId="1" w16cid:durableId="440031797">
    <w:abstractNumId w:val="2"/>
  </w:num>
  <w:num w:numId="2" w16cid:durableId="1890915228">
    <w:abstractNumId w:val="0"/>
  </w:num>
  <w:num w:numId="3" w16cid:durableId="1584256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oNotTrackFormatting/>
  <w:styleLockQFSet/>
  <w:defaultTabStop w:val="720"/>
  <w:drawingGridHorizontalSpacing w:val="120"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ECC"/>
    <w:rsid w:val="000024FF"/>
    <w:rsid w:val="000027BD"/>
    <w:rsid w:val="0000484E"/>
    <w:rsid w:val="000150B7"/>
    <w:rsid w:val="00021AB2"/>
    <w:rsid w:val="00025676"/>
    <w:rsid w:val="00031015"/>
    <w:rsid w:val="000326C8"/>
    <w:rsid w:val="000350B3"/>
    <w:rsid w:val="00041C40"/>
    <w:rsid w:val="0004292A"/>
    <w:rsid w:val="000467AA"/>
    <w:rsid w:val="000513AF"/>
    <w:rsid w:val="00057F06"/>
    <w:rsid w:val="00061ACC"/>
    <w:rsid w:val="0006233D"/>
    <w:rsid w:val="00062616"/>
    <w:rsid w:val="00073E6B"/>
    <w:rsid w:val="00076841"/>
    <w:rsid w:val="0007723F"/>
    <w:rsid w:val="00077D60"/>
    <w:rsid w:val="00083590"/>
    <w:rsid w:val="00092F4E"/>
    <w:rsid w:val="000B58E5"/>
    <w:rsid w:val="000B5958"/>
    <w:rsid w:val="000B653C"/>
    <w:rsid w:val="000C12E5"/>
    <w:rsid w:val="000C6953"/>
    <w:rsid w:val="000D0853"/>
    <w:rsid w:val="000E29A9"/>
    <w:rsid w:val="000E3A81"/>
    <w:rsid w:val="00107E19"/>
    <w:rsid w:val="00113636"/>
    <w:rsid w:val="0011596C"/>
    <w:rsid w:val="00115F62"/>
    <w:rsid w:val="00123E26"/>
    <w:rsid w:val="0013032F"/>
    <w:rsid w:val="001435C8"/>
    <w:rsid w:val="00144ED5"/>
    <w:rsid w:val="0014518B"/>
    <w:rsid w:val="00145A04"/>
    <w:rsid w:val="00145B05"/>
    <w:rsid w:val="00147605"/>
    <w:rsid w:val="00163052"/>
    <w:rsid w:val="001639D8"/>
    <w:rsid w:val="00167474"/>
    <w:rsid w:val="00186A05"/>
    <w:rsid w:val="001965E2"/>
    <w:rsid w:val="001B4EA1"/>
    <w:rsid w:val="001C5840"/>
    <w:rsid w:val="001C611D"/>
    <w:rsid w:val="001D1555"/>
    <w:rsid w:val="001D6168"/>
    <w:rsid w:val="001E0F1F"/>
    <w:rsid w:val="001E6731"/>
    <w:rsid w:val="001F346E"/>
    <w:rsid w:val="001F35AA"/>
    <w:rsid w:val="001F367B"/>
    <w:rsid w:val="002003C5"/>
    <w:rsid w:val="002207A3"/>
    <w:rsid w:val="00224A7C"/>
    <w:rsid w:val="00227605"/>
    <w:rsid w:val="002278D1"/>
    <w:rsid w:val="00231665"/>
    <w:rsid w:val="00233737"/>
    <w:rsid w:val="00236D7E"/>
    <w:rsid w:val="002403B5"/>
    <w:rsid w:val="00245281"/>
    <w:rsid w:val="00250E61"/>
    <w:rsid w:val="00261F94"/>
    <w:rsid w:val="002672A6"/>
    <w:rsid w:val="002676B9"/>
    <w:rsid w:val="00267941"/>
    <w:rsid w:val="002703AE"/>
    <w:rsid w:val="00280C26"/>
    <w:rsid w:val="00287E91"/>
    <w:rsid w:val="00291652"/>
    <w:rsid w:val="00295A9A"/>
    <w:rsid w:val="00296275"/>
    <w:rsid w:val="002964A1"/>
    <w:rsid w:val="002A25F2"/>
    <w:rsid w:val="002A2905"/>
    <w:rsid w:val="002A7C26"/>
    <w:rsid w:val="002B0932"/>
    <w:rsid w:val="002C20C7"/>
    <w:rsid w:val="002D0419"/>
    <w:rsid w:val="002E19BF"/>
    <w:rsid w:val="002F09A7"/>
    <w:rsid w:val="002F5271"/>
    <w:rsid w:val="00306B88"/>
    <w:rsid w:val="00310488"/>
    <w:rsid w:val="00311263"/>
    <w:rsid w:val="00311A0C"/>
    <w:rsid w:val="0034107F"/>
    <w:rsid w:val="00343C2D"/>
    <w:rsid w:val="00344D27"/>
    <w:rsid w:val="00346374"/>
    <w:rsid w:val="0035604C"/>
    <w:rsid w:val="00371332"/>
    <w:rsid w:val="0037525D"/>
    <w:rsid w:val="003850D4"/>
    <w:rsid w:val="00385E7E"/>
    <w:rsid w:val="00385F00"/>
    <w:rsid w:val="003866EF"/>
    <w:rsid w:val="003A4565"/>
    <w:rsid w:val="003A61DE"/>
    <w:rsid w:val="003B27EC"/>
    <w:rsid w:val="003B2F86"/>
    <w:rsid w:val="003B4439"/>
    <w:rsid w:val="003B4C9E"/>
    <w:rsid w:val="003B7CBC"/>
    <w:rsid w:val="003C29E5"/>
    <w:rsid w:val="003C3456"/>
    <w:rsid w:val="003C58BE"/>
    <w:rsid w:val="003D3FCB"/>
    <w:rsid w:val="003E3B57"/>
    <w:rsid w:val="003E73DB"/>
    <w:rsid w:val="003F1EAC"/>
    <w:rsid w:val="00410914"/>
    <w:rsid w:val="004119F5"/>
    <w:rsid w:val="004166B2"/>
    <w:rsid w:val="004203EF"/>
    <w:rsid w:val="00427E52"/>
    <w:rsid w:val="004371F0"/>
    <w:rsid w:val="00440E9E"/>
    <w:rsid w:val="00446353"/>
    <w:rsid w:val="0044739B"/>
    <w:rsid w:val="00447FA5"/>
    <w:rsid w:val="00453094"/>
    <w:rsid w:val="00467A6B"/>
    <w:rsid w:val="004716E3"/>
    <w:rsid w:val="00483A62"/>
    <w:rsid w:val="0049707A"/>
    <w:rsid w:val="004973DB"/>
    <w:rsid w:val="0049771A"/>
    <w:rsid w:val="004A00F5"/>
    <w:rsid w:val="004A473B"/>
    <w:rsid w:val="004A4BF1"/>
    <w:rsid w:val="004C3420"/>
    <w:rsid w:val="004C7C12"/>
    <w:rsid w:val="004D018B"/>
    <w:rsid w:val="004D124C"/>
    <w:rsid w:val="004D4435"/>
    <w:rsid w:val="004D7643"/>
    <w:rsid w:val="004F0EBB"/>
    <w:rsid w:val="00504EF0"/>
    <w:rsid w:val="00512A53"/>
    <w:rsid w:val="00523905"/>
    <w:rsid w:val="005251B9"/>
    <w:rsid w:val="00530BB4"/>
    <w:rsid w:val="005449F5"/>
    <w:rsid w:val="00545A47"/>
    <w:rsid w:val="005517F9"/>
    <w:rsid w:val="00557B7E"/>
    <w:rsid w:val="0057200D"/>
    <w:rsid w:val="00584750"/>
    <w:rsid w:val="00591CEC"/>
    <w:rsid w:val="005A74EA"/>
    <w:rsid w:val="005B0CEB"/>
    <w:rsid w:val="005B18A3"/>
    <w:rsid w:val="005C6572"/>
    <w:rsid w:val="005D277C"/>
    <w:rsid w:val="005D6D17"/>
    <w:rsid w:val="005E4B84"/>
    <w:rsid w:val="005E7B2F"/>
    <w:rsid w:val="005F5280"/>
    <w:rsid w:val="005F7223"/>
    <w:rsid w:val="0060413B"/>
    <w:rsid w:val="00605EE6"/>
    <w:rsid w:val="0060669E"/>
    <w:rsid w:val="00614EBB"/>
    <w:rsid w:val="0061583E"/>
    <w:rsid w:val="00617A25"/>
    <w:rsid w:val="00617BCA"/>
    <w:rsid w:val="0062426A"/>
    <w:rsid w:val="00624B11"/>
    <w:rsid w:val="00632159"/>
    <w:rsid w:val="00645B6A"/>
    <w:rsid w:val="00651ED7"/>
    <w:rsid w:val="00652D70"/>
    <w:rsid w:val="00655225"/>
    <w:rsid w:val="00664174"/>
    <w:rsid w:val="006643EA"/>
    <w:rsid w:val="0067348D"/>
    <w:rsid w:val="006745A9"/>
    <w:rsid w:val="006754EE"/>
    <w:rsid w:val="00682729"/>
    <w:rsid w:val="006A3F69"/>
    <w:rsid w:val="006A5B9F"/>
    <w:rsid w:val="006A6F18"/>
    <w:rsid w:val="006B4541"/>
    <w:rsid w:val="006C5090"/>
    <w:rsid w:val="006D1E2B"/>
    <w:rsid w:val="006E0D98"/>
    <w:rsid w:val="006E3180"/>
    <w:rsid w:val="006E6E26"/>
    <w:rsid w:val="006E70AA"/>
    <w:rsid w:val="006F28E7"/>
    <w:rsid w:val="006F7A98"/>
    <w:rsid w:val="007029CB"/>
    <w:rsid w:val="00705778"/>
    <w:rsid w:val="00710977"/>
    <w:rsid w:val="0071288A"/>
    <w:rsid w:val="0071373B"/>
    <w:rsid w:val="00720F7B"/>
    <w:rsid w:val="00726B19"/>
    <w:rsid w:val="00727BD0"/>
    <w:rsid w:val="007373F0"/>
    <w:rsid w:val="00742AFE"/>
    <w:rsid w:val="00742EDF"/>
    <w:rsid w:val="00751420"/>
    <w:rsid w:val="007607F7"/>
    <w:rsid w:val="007674D7"/>
    <w:rsid w:val="00772298"/>
    <w:rsid w:val="00794062"/>
    <w:rsid w:val="00797584"/>
    <w:rsid w:val="007A2D94"/>
    <w:rsid w:val="007A64CF"/>
    <w:rsid w:val="007B4BC8"/>
    <w:rsid w:val="007B651A"/>
    <w:rsid w:val="007B6ED8"/>
    <w:rsid w:val="007B75E4"/>
    <w:rsid w:val="007E2608"/>
    <w:rsid w:val="007E70D5"/>
    <w:rsid w:val="007F1726"/>
    <w:rsid w:val="0080200E"/>
    <w:rsid w:val="00803A33"/>
    <w:rsid w:val="00804200"/>
    <w:rsid w:val="008051ED"/>
    <w:rsid w:val="00811775"/>
    <w:rsid w:val="00811E31"/>
    <w:rsid w:val="008248B2"/>
    <w:rsid w:val="00825734"/>
    <w:rsid w:val="00834D88"/>
    <w:rsid w:val="008375F9"/>
    <w:rsid w:val="00864085"/>
    <w:rsid w:val="008707C2"/>
    <w:rsid w:val="008803D0"/>
    <w:rsid w:val="00880F24"/>
    <w:rsid w:val="008836AF"/>
    <w:rsid w:val="00885C9B"/>
    <w:rsid w:val="00892C1F"/>
    <w:rsid w:val="00893879"/>
    <w:rsid w:val="008B2172"/>
    <w:rsid w:val="008C4CC6"/>
    <w:rsid w:val="008D0668"/>
    <w:rsid w:val="008D4ED8"/>
    <w:rsid w:val="008D644E"/>
    <w:rsid w:val="008E5BCA"/>
    <w:rsid w:val="008F6830"/>
    <w:rsid w:val="00901979"/>
    <w:rsid w:val="009022B0"/>
    <w:rsid w:val="00905F4A"/>
    <w:rsid w:val="009145E4"/>
    <w:rsid w:val="009301D9"/>
    <w:rsid w:val="0094346F"/>
    <w:rsid w:val="00953187"/>
    <w:rsid w:val="009551E9"/>
    <w:rsid w:val="0096333E"/>
    <w:rsid w:val="009668EC"/>
    <w:rsid w:val="00977C3B"/>
    <w:rsid w:val="00982F22"/>
    <w:rsid w:val="00986A9A"/>
    <w:rsid w:val="009901B5"/>
    <w:rsid w:val="0099239A"/>
    <w:rsid w:val="009A0BCC"/>
    <w:rsid w:val="009A2EFA"/>
    <w:rsid w:val="009A57C5"/>
    <w:rsid w:val="009A6CD4"/>
    <w:rsid w:val="009A6E66"/>
    <w:rsid w:val="009A79BF"/>
    <w:rsid w:val="009B0211"/>
    <w:rsid w:val="009B165A"/>
    <w:rsid w:val="009C16F8"/>
    <w:rsid w:val="009C1DE7"/>
    <w:rsid w:val="009C2C05"/>
    <w:rsid w:val="009C5625"/>
    <w:rsid w:val="009C5962"/>
    <w:rsid w:val="009D0999"/>
    <w:rsid w:val="009E679E"/>
    <w:rsid w:val="009F0698"/>
    <w:rsid w:val="00A05705"/>
    <w:rsid w:val="00A14643"/>
    <w:rsid w:val="00A16F03"/>
    <w:rsid w:val="00A20754"/>
    <w:rsid w:val="00A21136"/>
    <w:rsid w:val="00A2266D"/>
    <w:rsid w:val="00A3323A"/>
    <w:rsid w:val="00A46C66"/>
    <w:rsid w:val="00A46FAF"/>
    <w:rsid w:val="00A5674A"/>
    <w:rsid w:val="00A623EF"/>
    <w:rsid w:val="00A64F91"/>
    <w:rsid w:val="00A7019F"/>
    <w:rsid w:val="00A7438D"/>
    <w:rsid w:val="00A74797"/>
    <w:rsid w:val="00A7601D"/>
    <w:rsid w:val="00A81984"/>
    <w:rsid w:val="00A95E6B"/>
    <w:rsid w:val="00AA0F23"/>
    <w:rsid w:val="00AA3E2F"/>
    <w:rsid w:val="00AA46CA"/>
    <w:rsid w:val="00AA535B"/>
    <w:rsid w:val="00AB1591"/>
    <w:rsid w:val="00AB620A"/>
    <w:rsid w:val="00AC3273"/>
    <w:rsid w:val="00AC68C4"/>
    <w:rsid w:val="00AD310D"/>
    <w:rsid w:val="00AD3D4D"/>
    <w:rsid w:val="00AE4069"/>
    <w:rsid w:val="00AE7916"/>
    <w:rsid w:val="00AF09EA"/>
    <w:rsid w:val="00AF1D6D"/>
    <w:rsid w:val="00AF5632"/>
    <w:rsid w:val="00AF7089"/>
    <w:rsid w:val="00B04913"/>
    <w:rsid w:val="00B2169A"/>
    <w:rsid w:val="00B31D4D"/>
    <w:rsid w:val="00B3616B"/>
    <w:rsid w:val="00B37633"/>
    <w:rsid w:val="00B518C9"/>
    <w:rsid w:val="00B52EAC"/>
    <w:rsid w:val="00B54969"/>
    <w:rsid w:val="00B60053"/>
    <w:rsid w:val="00B7220C"/>
    <w:rsid w:val="00B80B9E"/>
    <w:rsid w:val="00B838DA"/>
    <w:rsid w:val="00B853DE"/>
    <w:rsid w:val="00B86E3A"/>
    <w:rsid w:val="00B907CB"/>
    <w:rsid w:val="00BA017F"/>
    <w:rsid w:val="00BD535F"/>
    <w:rsid w:val="00BD6A45"/>
    <w:rsid w:val="00BE6E1B"/>
    <w:rsid w:val="00BE6E64"/>
    <w:rsid w:val="00BF31B7"/>
    <w:rsid w:val="00BF4F99"/>
    <w:rsid w:val="00BF4FD2"/>
    <w:rsid w:val="00BF772A"/>
    <w:rsid w:val="00C10048"/>
    <w:rsid w:val="00C25EA9"/>
    <w:rsid w:val="00C30E9B"/>
    <w:rsid w:val="00C424FC"/>
    <w:rsid w:val="00C51ECC"/>
    <w:rsid w:val="00C600D9"/>
    <w:rsid w:val="00C60EA6"/>
    <w:rsid w:val="00C67ADA"/>
    <w:rsid w:val="00C810E8"/>
    <w:rsid w:val="00C840B8"/>
    <w:rsid w:val="00C847C2"/>
    <w:rsid w:val="00C90B5E"/>
    <w:rsid w:val="00C90BF7"/>
    <w:rsid w:val="00CA6613"/>
    <w:rsid w:val="00CC25D0"/>
    <w:rsid w:val="00CC69AD"/>
    <w:rsid w:val="00CD4F63"/>
    <w:rsid w:val="00CE5254"/>
    <w:rsid w:val="00CF1664"/>
    <w:rsid w:val="00CF5A8A"/>
    <w:rsid w:val="00D01278"/>
    <w:rsid w:val="00D10E38"/>
    <w:rsid w:val="00D12AB1"/>
    <w:rsid w:val="00D210DE"/>
    <w:rsid w:val="00D23B36"/>
    <w:rsid w:val="00D27AEB"/>
    <w:rsid w:val="00D314F5"/>
    <w:rsid w:val="00D53BAE"/>
    <w:rsid w:val="00D57DBA"/>
    <w:rsid w:val="00D57EBC"/>
    <w:rsid w:val="00D64977"/>
    <w:rsid w:val="00D66472"/>
    <w:rsid w:val="00D71F76"/>
    <w:rsid w:val="00D77095"/>
    <w:rsid w:val="00D80573"/>
    <w:rsid w:val="00D94BB1"/>
    <w:rsid w:val="00D961C9"/>
    <w:rsid w:val="00D97B80"/>
    <w:rsid w:val="00DA1D73"/>
    <w:rsid w:val="00DB2761"/>
    <w:rsid w:val="00DB2FF6"/>
    <w:rsid w:val="00DD0E0C"/>
    <w:rsid w:val="00DD7765"/>
    <w:rsid w:val="00DE0814"/>
    <w:rsid w:val="00DE522D"/>
    <w:rsid w:val="00DF6C9D"/>
    <w:rsid w:val="00E05660"/>
    <w:rsid w:val="00E06974"/>
    <w:rsid w:val="00E23955"/>
    <w:rsid w:val="00E340CC"/>
    <w:rsid w:val="00E417DF"/>
    <w:rsid w:val="00E47327"/>
    <w:rsid w:val="00E618A3"/>
    <w:rsid w:val="00E66815"/>
    <w:rsid w:val="00E7385D"/>
    <w:rsid w:val="00E7666C"/>
    <w:rsid w:val="00E86579"/>
    <w:rsid w:val="00E90A19"/>
    <w:rsid w:val="00E974F8"/>
    <w:rsid w:val="00EA2758"/>
    <w:rsid w:val="00EA38E5"/>
    <w:rsid w:val="00EA79DA"/>
    <w:rsid w:val="00EC1274"/>
    <w:rsid w:val="00EC1A87"/>
    <w:rsid w:val="00EC3217"/>
    <w:rsid w:val="00EC636E"/>
    <w:rsid w:val="00EC7E55"/>
    <w:rsid w:val="00ED6F93"/>
    <w:rsid w:val="00EE7984"/>
    <w:rsid w:val="00EE7CB8"/>
    <w:rsid w:val="00EF16FB"/>
    <w:rsid w:val="00F02216"/>
    <w:rsid w:val="00F0291C"/>
    <w:rsid w:val="00F101DD"/>
    <w:rsid w:val="00F14193"/>
    <w:rsid w:val="00F14D59"/>
    <w:rsid w:val="00F1733A"/>
    <w:rsid w:val="00F20CCE"/>
    <w:rsid w:val="00F3614E"/>
    <w:rsid w:val="00F372D2"/>
    <w:rsid w:val="00F53145"/>
    <w:rsid w:val="00F56870"/>
    <w:rsid w:val="00F576E0"/>
    <w:rsid w:val="00F6440C"/>
    <w:rsid w:val="00F87813"/>
    <w:rsid w:val="00F901CF"/>
    <w:rsid w:val="00F90205"/>
    <w:rsid w:val="00F906EF"/>
    <w:rsid w:val="00FB1FA1"/>
    <w:rsid w:val="00FB33FD"/>
    <w:rsid w:val="00FB645E"/>
    <w:rsid w:val="00FC35ED"/>
    <w:rsid w:val="00FD6CD9"/>
    <w:rsid w:val="00FE20D9"/>
    <w:rsid w:val="00FF565A"/>
    <w:rsid w:val="00FF7804"/>
    <w:rsid w:val="03FDA2BC"/>
    <w:rsid w:val="04904FA4"/>
    <w:rsid w:val="049B3B35"/>
    <w:rsid w:val="05BF65B9"/>
    <w:rsid w:val="097FB9B0"/>
    <w:rsid w:val="0BBD7568"/>
    <w:rsid w:val="0C7A1979"/>
    <w:rsid w:val="0D8DC5E1"/>
    <w:rsid w:val="0D9F6625"/>
    <w:rsid w:val="0EF8859F"/>
    <w:rsid w:val="0F643142"/>
    <w:rsid w:val="0FBD0BFA"/>
    <w:rsid w:val="0FF750C3"/>
    <w:rsid w:val="0FFACC31"/>
    <w:rsid w:val="10FA6C45"/>
    <w:rsid w:val="15D2125B"/>
    <w:rsid w:val="17395E35"/>
    <w:rsid w:val="17AFEFC6"/>
    <w:rsid w:val="17EE000C"/>
    <w:rsid w:val="19DFB821"/>
    <w:rsid w:val="1BDF5A24"/>
    <w:rsid w:val="1BE7A6FD"/>
    <w:rsid w:val="1D7FD58E"/>
    <w:rsid w:val="1DBFC80F"/>
    <w:rsid w:val="1DE946ED"/>
    <w:rsid w:val="1DEDD446"/>
    <w:rsid w:val="1EF7132E"/>
    <w:rsid w:val="1F7BCE5F"/>
    <w:rsid w:val="1F861F45"/>
    <w:rsid w:val="1FEF570A"/>
    <w:rsid w:val="1FFDBA82"/>
    <w:rsid w:val="21741FBC"/>
    <w:rsid w:val="23FF8C75"/>
    <w:rsid w:val="23FFF0BF"/>
    <w:rsid w:val="25A61B70"/>
    <w:rsid w:val="25FFE568"/>
    <w:rsid w:val="261D4CA0"/>
    <w:rsid w:val="26CFAE11"/>
    <w:rsid w:val="277F9E7E"/>
    <w:rsid w:val="279DE221"/>
    <w:rsid w:val="27FDB7F1"/>
    <w:rsid w:val="29038002"/>
    <w:rsid w:val="29EFBA72"/>
    <w:rsid w:val="2A3DBE84"/>
    <w:rsid w:val="2ABFCFF1"/>
    <w:rsid w:val="2B7D29A5"/>
    <w:rsid w:val="2BB50C75"/>
    <w:rsid w:val="2BDF3E0D"/>
    <w:rsid w:val="2C881EC2"/>
    <w:rsid w:val="2D1E6B10"/>
    <w:rsid w:val="2DB5E5F0"/>
    <w:rsid w:val="2E2B8FB1"/>
    <w:rsid w:val="2E3B7022"/>
    <w:rsid w:val="2EA86696"/>
    <w:rsid w:val="2EDBD162"/>
    <w:rsid w:val="2EDF0E9D"/>
    <w:rsid w:val="2EF96D8A"/>
    <w:rsid w:val="2F3F3404"/>
    <w:rsid w:val="2F5FA7F0"/>
    <w:rsid w:val="2F627547"/>
    <w:rsid w:val="2FF44249"/>
    <w:rsid w:val="2FF924A9"/>
    <w:rsid w:val="2FFA45F9"/>
    <w:rsid w:val="2FFDA087"/>
    <w:rsid w:val="31470931"/>
    <w:rsid w:val="31D05087"/>
    <w:rsid w:val="3202308C"/>
    <w:rsid w:val="32DF4678"/>
    <w:rsid w:val="32F861A6"/>
    <w:rsid w:val="339F7BDE"/>
    <w:rsid w:val="33AE1EF6"/>
    <w:rsid w:val="33FF4F2E"/>
    <w:rsid w:val="35EDDFD3"/>
    <w:rsid w:val="35F65C11"/>
    <w:rsid w:val="365AE5AD"/>
    <w:rsid w:val="366F8DD3"/>
    <w:rsid w:val="3794BA7A"/>
    <w:rsid w:val="37BF4C8A"/>
    <w:rsid w:val="37EB5AE6"/>
    <w:rsid w:val="37F70101"/>
    <w:rsid w:val="37FDA3AA"/>
    <w:rsid w:val="37FDAB85"/>
    <w:rsid w:val="37FE1B68"/>
    <w:rsid w:val="37FEFEAE"/>
    <w:rsid w:val="37FFC9A6"/>
    <w:rsid w:val="37FFCC29"/>
    <w:rsid w:val="3ABDA3FE"/>
    <w:rsid w:val="3AEFDBD4"/>
    <w:rsid w:val="3B7B7066"/>
    <w:rsid w:val="3BBDA242"/>
    <w:rsid w:val="3BDF9F69"/>
    <w:rsid w:val="3BEDED19"/>
    <w:rsid w:val="3BFFFE0C"/>
    <w:rsid w:val="3D6F0AEC"/>
    <w:rsid w:val="3D77C6DA"/>
    <w:rsid w:val="3D797B18"/>
    <w:rsid w:val="3DA615F6"/>
    <w:rsid w:val="3DBB4CBE"/>
    <w:rsid w:val="3DDF2299"/>
    <w:rsid w:val="3DF36AC0"/>
    <w:rsid w:val="3DFDF9AD"/>
    <w:rsid w:val="3DFE292E"/>
    <w:rsid w:val="3DFF849D"/>
    <w:rsid w:val="3E7FE082"/>
    <w:rsid w:val="3EB798F5"/>
    <w:rsid w:val="3EBEEE8A"/>
    <w:rsid w:val="3EFE7DD2"/>
    <w:rsid w:val="3F3E7438"/>
    <w:rsid w:val="3F6A2B3D"/>
    <w:rsid w:val="3F7B5DED"/>
    <w:rsid w:val="3F7F52FA"/>
    <w:rsid w:val="3F9F4EDF"/>
    <w:rsid w:val="3FA65724"/>
    <w:rsid w:val="3FAEC8AC"/>
    <w:rsid w:val="3FAF13E3"/>
    <w:rsid w:val="3FBCBDBF"/>
    <w:rsid w:val="3FBD8BCC"/>
    <w:rsid w:val="3FCB0780"/>
    <w:rsid w:val="3FCD1929"/>
    <w:rsid w:val="3FCE9098"/>
    <w:rsid w:val="3FD70472"/>
    <w:rsid w:val="3FDBA0A4"/>
    <w:rsid w:val="3FDD8515"/>
    <w:rsid w:val="3FDDAA45"/>
    <w:rsid w:val="3FDF4C95"/>
    <w:rsid w:val="3FEBF32A"/>
    <w:rsid w:val="3FF3B81B"/>
    <w:rsid w:val="3FF883BA"/>
    <w:rsid w:val="3FFB7B87"/>
    <w:rsid w:val="3FFB9009"/>
    <w:rsid w:val="3FFD00FA"/>
    <w:rsid w:val="3FFDD212"/>
    <w:rsid w:val="3FFE2640"/>
    <w:rsid w:val="3FFFC85E"/>
    <w:rsid w:val="42C7515C"/>
    <w:rsid w:val="42F753FC"/>
    <w:rsid w:val="449B372C"/>
    <w:rsid w:val="46CE6229"/>
    <w:rsid w:val="4773B61B"/>
    <w:rsid w:val="47F50431"/>
    <w:rsid w:val="4B1B3133"/>
    <w:rsid w:val="4B7BFAEC"/>
    <w:rsid w:val="4BBFA8A3"/>
    <w:rsid w:val="4BC7DFAF"/>
    <w:rsid w:val="4BFCF763"/>
    <w:rsid w:val="4C5FB004"/>
    <w:rsid w:val="4CEF7E6C"/>
    <w:rsid w:val="4E5F2D28"/>
    <w:rsid w:val="4E7F2481"/>
    <w:rsid w:val="4E933C15"/>
    <w:rsid w:val="4F31D5A6"/>
    <w:rsid w:val="4F5FD38E"/>
    <w:rsid w:val="4F898F5D"/>
    <w:rsid w:val="4FB0517E"/>
    <w:rsid w:val="4FBE9350"/>
    <w:rsid w:val="4FC745E8"/>
    <w:rsid w:val="51D33B29"/>
    <w:rsid w:val="533B0B15"/>
    <w:rsid w:val="537F3E63"/>
    <w:rsid w:val="53EB1897"/>
    <w:rsid w:val="53F6645B"/>
    <w:rsid w:val="54F7D74E"/>
    <w:rsid w:val="55CB7262"/>
    <w:rsid w:val="55D63CD0"/>
    <w:rsid w:val="55EF5DFD"/>
    <w:rsid w:val="55F7A917"/>
    <w:rsid w:val="55FB6AD8"/>
    <w:rsid w:val="563E5CD6"/>
    <w:rsid w:val="56872AE0"/>
    <w:rsid w:val="56F35C6F"/>
    <w:rsid w:val="577DBDFE"/>
    <w:rsid w:val="57BB52F0"/>
    <w:rsid w:val="57BF346C"/>
    <w:rsid w:val="57C61670"/>
    <w:rsid w:val="57D7FC0A"/>
    <w:rsid w:val="57EDBFC2"/>
    <w:rsid w:val="57FBEB1A"/>
    <w:rsid w:val="57FF144E"/>
    <w:rsid w:val="593BA966"/>
    <w:rsid w:val="596702BC"/>
    <w:rsid w:val="596E70EE"/>
    <w:rsid w:val="597BD232"/>
    <w:rsid w:val="59BBA5FA"/>
    <w:rsid w:val="59E7B117"/>
    <w:rsid w:val="59F68A71"/>
    <w:rsid w:val="59FF5B14"/>
    <w:rsid w:val="5ABE31AA"/>
    <w:rsid w:val="5AF36F9D"/>
    <w:rsid w:val="5B27C3E5"/>
    <w:rsid w:val="5B6DF53D"/>
    <w:rsid w:val="5B7E4C2A"/>
    <w:rsid w:val="5BC05F2A"/>
    <w:rsid w:val="5BF20CFE"/>
    <w:rsid w:val="5BF71B84"/>
    <w:rsid w:val="5BFF9EFA"/>
    <w:rsid w:val="5C5D82A5"/>
    <w:rsid w:val="5C634121"/>
    <w:rsid w:val="5CFA3319"/>
    <w:rsid w:val="5CFB5B29"/>
    <w:rsid w:val="5DAD3D62"/>
    <w:rsid w:val="5DDB5B2C"/>
    <w:rsid w:val="5DDD5EAB"/>
    <w:rsid w:val="5DDD7D50"/>
    <w:rsid w:val="5DEEAABD"/>
    <w:rsid w:val="5DFEBFA4"/>
    <w:rsid w:val="5E1350D1"/>
    <w:rsid w:val="5E3EF07D"/>
    <w:rsid w:val="5E7FC42A"/>
    <w:rsid w:val="5E7FFC22"/>
    <w:rsid w:val="5EBFBDFE"/>
    <w:rsid w:val="5EEC52F0"/>
    <w:rsid w:val="5F262FF8"/>
    <w:rsid w:val="5F3B652D"/>
    <w:rsid w:val="5F3F1076"/>
    <w:rsid w:val="5F5FC764"/>
    <w:rsid w:val="5F6AF969"/>
    <w:rsid w:val="5F6D39CB"/>
    <w:rsid w:val="5F7F9F24"/>
    <w:rsid w:val="5F7FB766"/>
    <w:rsid w:val="5FAF0FA4"/>
    <w:rsid w:val="5FB9A655"/>
    <w:rsid w:val="5FBB7874"/>
    <w:rsid w:val="5FBE46F4"/>
    <w:rsid w:val="5FDE0D0C"/>
    <w:rsid w:val="5FE72070"/>
    <w:rsid w:val="5FE9A66C"/>
    <w:rsid w:val="5FEDE911"/>
    <w:rsid w:val="5FEF5482"/>
    <w:rsid w:val="5FEFA8EB"/>
    <w:rsid w:val="5FF06251"/>
    <w:rsid w:val="5FFC6772"/>
    <w:rsid w:val="5FFC96C1"/>
    <w:rsid w:val="5FFE2E1E"/>
    <w:rsid w:val="627AAA82"/>
    <w:rsid w:val="62FF31B9"/>
    <w:rsid w:val="63951BF9"/>
    <w:rsid w:val="63F73954"/>
    <w:rsid w:val="63FF8F2C"/>
    <w:rsid w:val="64374E25"/>
    <w:rsid w:val="651FCC50"/>
    <w:rsid w:val="657B0D3E"/>
    <w:rsid w:val="65F73EC6"/>
    <w:rsid w:val="663FA755"/>
    <w:rsid w:val="665751AA"/>
    <w:rsid w:val="673D7209"/>
    <w:rsid w:val="677F17DD"/>
    <w:rsid w:val="67A7EB91"/>
    <w:rsid w:val="67AFC4C1"/>
    <w:rsid w:val="67BF0596"/>
    <w:rsid w:val="67D7DF31"/>
    <w:rsid w:val="67E99500"/>
    <w:rsid w:val="67EA3A08"/>
    <w:rsid w:val="67F73BBD"/>
    <w:rsid w:val="67F7E75E"/>
    <w:rsid w:val="68FF5894"/>
    <w:rsid w:val="694F6E4F"/>
    <w:rsid w:val="69FE46C2"/>
    <w:rsid w:val="69FEEE64"/>
    <w:rsid w:val="69FF8DE6"/>
    <w:rsid w:val="6A3F06E0"/>
    <w:rsid w:val="6A7E6758"/>
    <w:rsid w:val="6ADB120A"/>
    <w:rsid w:val="6AED0694"/>
    <w:rsid w:val="6AFFEE4F"/>
    <w:rsid w:val="6B5F29E8"/>
    <w:rsid w:val="6B7C039F"/>
    <w:rsid w:val="6B7D8B7B"/>
    <w:rsid w:val="6BB78D55"/>
    <w:rsid w:val="6BBD5DBB"/>
    <w:rsid w:val="6BDF8FAD"/>
    <w:rsid w:val="6BFB7686"/>
    <w:rsid w:val="6BFC72AA"/>
    <w:rsid w:val="6BFFECAC"/>
    <w:rsid w:val="6CB6AAC4"/>
    <w:rsid w:val="6CCFF28A"/>
    <w:rsid w:val="6DB79430"/>
    <w:rsid w:val="6DDFCDD2"/>
    <w:rsid w:val="6DEE4FF5"/>
    <w:rsid w:val="6DEF4880"/>
    <w:rsid w:val="6DF70056"/>
    <w:rsid w:val="6DF9F477"/>
    <w:rsid w:val="6E577EF1"/>
    <w:rsid w:val="6E6FBD9A"/>
    <w:rsid w:val="6E7FD7A9"/>
    <w:rsid w:val="6E9D0B4E"/>
    <w:rsid w:val="6EC32F39"/>
    <w:rsid w:val="6EE7A953"/>
    <w:rsid w:val="6EFEBF42"/>
    <w:rsid w:val="6F1709DD"/>
    <w:rsid w:val="6F273A88"/>
    <w:rsid w:val="6F3F3750"/>
    <w:rsid w:val="6F6B27C9"/>
    <w:rsid w:val="6F737271"/>
    <w:rsid w:val="6F773F08"/>
    <w:rsid w:val="6FB2140B"/>
    <w:rsid w:val="6FC5B335"/>
    <w:rsid w:val="6FDF90D8"/>
    <w:rsid w:val="6FDF9C0D"/>
    <w:rsid w:val="6FDFB550"/>
    <w:rsid w:val="6FE45F99"/>
    <w:rsid w:val="6FEBC232"/>
    <w:rsid w:val="6FECE4C2"/>
    <w:rsid w:val="6FED1560"/>
    <w:rsid w:val="6FEF0C82"/>
    <w:rsid w:val="6FEF15C5"/>
    <w:rsid w:val="6FFB3026"/>
    <w:rsid w:val="6FFC9A20"/>
    <w:rsid w:val="6FFD8868"/>
    <w:rsid w:val="707E6DFD"/>
    <w:rsid w:val="712725C0"/>
    <w:rsid w:val="71BFAF06"/>
    <w:rsid w:val="7297BF16"/>
    <w:rsid w:val="72DEB067"/>
    <w:rsid w:val="72EF9581"/>
    <w:rsid w:val="737F54C8"/>
    <w:rsid w:val="739BF4DB"/>
    <w:rsid w:val="73BBA7E4"/>
    <w:rsid w:val="73CE945C"/>
    <w:rsid w:val="73FDD8F7"/>
    <w:rsid w:val="73FFBF30"/>
    <w:rsid w:val="73FFDF67"/>
    <w:rsid w:val="74958C1B"/>
    <w:rsid w:val="74FF8B76"/>
    <w:rsid w:val="7597D4BE"/>
    <w:rsid w:val="75F4DEBD"/>
    <w:rsid w:val="75FC7A61"/>
    <w:rsid w:val="767D799C"/>
    <w:rsid w:val="76BD1890"/>
    <w:rsid w:val="76C3E7E9"/>
    <w:rsid w:val="76DCEE49"/>
    <w:rsid w:val="76DDC6C1"/>
    <w:rsid w:val="76EE18A2"/>
    <w:rsid w:val="76EF7A1B"/>
    <w:rsid w:val="76FD1C54"/>
    <w:rsid w:val="76FDBC36"/>
    <w:rsid w:val="76FFB553"/>
    <w:rsid w:val="771EEF23"/>
    <w:rsid w:val="771FF9B8"/>
    <w:rsid w:val="773730E7"/>
    <w:rsid w:val="773EF1D3"/>
    <w:rsid w:val="776FE1C5"/>
    <w:rsid w:val="7777E39B"/>
    <w:rsid w:val="777FFDB1"/>
    <w:rsid w:val="779B359D"/>
    <w:rsid w:val="779D0A1D"/>
    <w:rsid w:val="77ABBE9C"/>
    <w:rsid w:val="77BF6EE0"/>
    <w:rsid w:val="77BFDB51"/>
    <w:rsid w:val="77D5AB91"/>
    <w:rsid w:val="77D7C4C2"/>
    <w:rsid w:val="77E9D4A3"/>
    <w:rsid w:val="77EB24CF"/>
    <w:rsid w:val="77ED576C"/>
    <w:rsid w:val="77EEC52B"/>
    <w:rsid w:val="77F771AE"/>
    <w:rsid w:val="77F78648"/>
    <w:rsid w:val="77FC592E"/>
    <w:rsid w:val="77FF5231"/>
    <w:rsid w:val="77FF829C"/>
    <w:rsid w:val="77FFAE5D"/>
    <w:rsid w:val="77FFC965"/>
    <w:rsid w:val="78BF8108"/>
    <w:rsid w:val="793F1BA5"/>
    <w:rsid w:val="795FDB59"/>
    <w:rsid w:val="7977BD4F"/>
    <w:rsid w:val="79A33EE2"/>
    <w:rsid w:val="79A95DD3"/>
    <w:rsid w:val="79AB5A2B"/>
    <w:rsid w:val="79AFF3CC"/>
    <w:rsid w:val="79B7FAEE"/>
    <w:rsid w:val="79BF71DF"/>
    <w:rsid w:val="79DF9E37"/>
    <w:rsid w:val="79F7BC2C"/>
    <w:rsid w:val="79F8E75E"/>
    <w:rsid w:val="79FD4703"/>
    <w:rsid w:val="79FEDBE3"/>
    <w:rsid w:val="7A3E10FE"/>
    <w:rsid w:val="7ABF94D5"/>
    <w:rsid w:val="7AF959C5"/>
    <w:rsid w:val="7AFFD4BA"/>
    <w:rsid w:val="7B079D43"/>
    <w:rsid w:val="7B170F43"/>
    <w:rsid w:val="7B1F2734"/>
    <w:rsid w:val="7B254011"/>
    <w:rsid w:val="7B2F7E68"/>
    <w:rsid w:val="7B6D5E84"/>
    <w:rsid w:val="7B7D519C"/>
    <w:rsid w:val="7B7FC139"/>
    <w:rsid w:val="7B8F93C0"/>
    <w:rsid w:val="7BB2D9BE"/>
    <w:rsid w:val="7BB93077"/>
    <w:rsid w:val="7BBE558D"/>
    <w:rsid w:val="7BBF20B2"/>
    <w:rsid w:val="7BBF5A10"/>
    <w:rsid w:val="7BC726C0"/>
    <w:rsid w:val="7BD7009F"/>
    <w:rsid w:val="7BDB326A"/>
    <w:rsid w:val="7BDF6669"/>
    <w:rsid w:val="7BDFA817"/>
    <w:rsid w:val="7BE981A4"/>
    <w:rsid w:val="7BEB70CC"/>
    <w:rsid w:val="7BFBC0B1"/>
    <w:rsid w:val="7BFD3106"/>
    <w:rsid w:val="7BFD39BA"/>
    <w:rsid w:val="7BFDE872"/>
    <w:rsid w:val="7BFDFB69"/>
    <w:rsid w:val="7BFF6D0F"/>
    <w:rsid w:val="7BFF8077"/>
    <w:rsid w:val="7C237942"/>
    <w:rsid w:val="7C5EB97F"/>
    <w:rsid w:val="7C6F538E"/>
    <w:rsid w:val="7C775A2C"/>
    <w:rsid w:val="7C9B926A"/>
    <w:rsid w:val="7CCF1984"/>
    <w:rsid w:val="7CDAF710"/>
    <w:rsid w:val="7CFB07A8"/>
    <w:rsid w:val="7CFF9F6B"/>
    <w:rsid w:val="7D3C4828"/>
    <w:rsid w:val="7D3FC390"/>
    <w:rsid w:val="7D6F9E3D"/>
    <w:rsid w:val="7D7F8700"/>
    <w:rsid w:val="7D89064A"/>
    <w:rsid w:val="7D9F1E61"/>
    <w:rsid w:val="7DAEFC1D"/>
    <w:rsid w:val="7DBB541F"/>
    <w:rsid w:val="7DBD0F67"/>
    <w:rsid w:val="7DBD2C75"/>
    <w:rsid w:val="7DBD69B1"/>
    <w:rsid w:val="7DBEEBCD"/>
    <w:rsid w:val="7DBFE114"/>
    <w:rsid w:val="7DC85873"/>
    <w:rsid w:val="7DD61106"/>
    <w:rsid w:val="7DDFB277"/>
    <w:rsid w:val="7DEE754C"/>
    <w:rsid w:val="7DF507EA"/>
    <w:rsid w:val="7DF92963"/>
    <w:rsid w:val="7DFB1D88"/>
    <w:rsid w:val="7DFC3A4F"/>
    <w:rsid w:val="7DFEF0B0"/>
    <w:rsid w:val="7DFF2537"/>
    <w:rsid w:val="7DFF31D3"/>
    <w:rsid w:val="7DFF5835"/>
    <w:rsid w:val="7DFF7BD0"/>
    <w:rsid w:val="7DFFA90E"/>
    <w:rsid w:val="7DFFB1B7"/>
    <w:rsid w:val="7DFFCEB8"/>
    <w:rsid w:val="7E4B4D99"/>
    <w:rsid w:val="7E4F2C3F"/>
    <w:rsid w:val="7E6DD634"/>
    <w:rsid w:val="7E736136"/>
    <w:rsid w:val="7E7E6F15"/>
    <w:rsid w:val="7E9B4ED4"/>
    <w:rsid w:val="7EB73341"/>
    <w:rsid w:val="7ECBF851"/>
    <w:rsid w:val="7EDE6321"/>
    <w:rsid w:val="7EDF346A"/>
    <w:rsid w:val="7EED292E"/>
    <w:rsid w:val="7EEF33D3"/>
    <w:rsid w:val="7EF17A8E"/>
    <w:rsid w:val="7EF566DD"/>
    <w:rsid w:val="7EF696BF"/>
    <w:rsid w:val="7EF7DB84"/>
    <w:rsid w:val="7EF94AC5"/>
    <w:rsid w:val="7EF970BA"/>
    <w:rsid w:val="7EFDB335"/>
    <w:rsid w:val="7EFE5F3E"/>
    <w:rsid w:val="7EFEAD98"/>
    <w:rsid w:val="7EFF2DC7"/>
    <w:rsid w:val="7F337B9A"/>
    <w:rsid w:val="7F3CC867"/>
    <w:rsid w:val="7F3FFC68"/>
    <w:rsid w:val="7F5AEE4C"/>
    <w:rsid w:val="7F5B6D97"/>
    <w:rsid w:val="7F645BBB"/>
    <w:rsid w:val="7F6B5163"/>
    <w:rsid w:val="7F707294"/>
    <w:rsid w:val="7F713B81"/>
    <w:rsid w:val="7F770FD8"/>
    <w:rsid w:val="7F7B748D"/>
    <w:rsid w:val="7F7D7910"/>
    <w:rsid w:val="7F9D057B"/>
    <w:rsid w:val="7F9D5A5E"/>
    <w:rsid w:val="7FA720B9"/>
    <w:rsid w:val="7FAC371A"/>
    <w:rsid w:val="7FAD04C1"/>
    <w:rsid w:val="7FB9A072"/>
    <w:rsid w:val="7FBA76E5"/>
    <w:rsid w:val="7FBB29B6"/>
    <w:rsid w:val="7FBB5862"/>
    <w:rsid w:val="7FBD8A02"/>
    <w:rsid w:val="7FBFA1BD"/>
    <w:rsid w:val="7FC6189E"/>
    <w:rsid w:val="7FCF6A47"/>
    <w:rsid w:val="7FCFA4A3"/>
    <w:rsid w:val="7FD53EEB"/>
    <w:rsid w:val="7FD78E5A"/>
    <w:rsid w:val="7FD7ADA7"/>
    <w:rsid w:val="7FD91F6F"/>
    <w:rsid w:val="7FDB7F61"/>
    <w:rsid w:val="7FDE1864"/>
    <w:rsid w:val="7FDFB376"/>
    <w:rsid w:val="7FDFCBF4"/>
    <w:rsid w:val="7FDFEEE4"/>
    <w:rsid w:val="7FE73EA6"/>
    <w:rsid w:val="7FEB3C54"/>
    <w:rsid w:val="7FEBF41B"/>
    <w:rsid w:val="7FEDB1EC"/>
    <w:rsid w:val="7FEE32F4"/>
    <w:rsid w:val="7FEE7433"/>
    <w:rsid w:val="7FEFB978"/>
    <w:rsid w:val="7FF18DC3"/>
    <w:rsid w:val="7FF1C0C7"/>
    <w:rsid w:val="7FF43B76"/>
    <w:rsid w:val="7FF66C82"/>
    <w:rsid w:val="7FF71CCF"/>
    <w:rsid w:val="7FF748AE"/>
    <w:rsid w:val="7FF78BF2"/>
    <w:rsid w:val="7FF7C0CA"/>
    <w:rsid w:val="7FF7DF78"/>
    <w:rsid w:val="7FF8D0AC"/>
    <w:rsid w:val="7FFB2B1F"/>
    <w:rsid w:val="7FFC6BB1"/>
    <w:rsid w:val="7FFCB9A5"/>
    <w:rsid w:val="7FFD5CAB"/>
    <w:rsid w:val="7FFDB716"/>
    <w:rsid w:val="7FFE3502"/>
    <w:rsid w:val="7FFE5CD8"/>
    <w:rsid w:val="7FFEE69C"/>
    <w:rsid w:val="7FFEE6A8"/>
    <w:rsid w:val="7FFF0128"/>
    <w:rsid w:val="7FFF9158"/>
    <w:rsid w:val="7FFFACBA"/>
    <w:rsid w:val="7FFFAFAC"/>
    <w:rsid w:val="84E59F3C"/>
    <w:rsid w:val="8534106F"/>
    <w:rsid w:val="87743ADA"/>
    <w:rsid w:val="87AFA60D"/>
    <w:rsid w:val="8D771EA3"/>
    <w:rsid w:val="8EF545B6"/>
    <w:rsid w:val="8F7FAE7C"/>
    <w:rsid w:val="8FBB26B2"/>
    <w:rsid w:val="8FF72E86"/>
    <w:rsid w:val="8FF748B9"/>
    <w:rsid w:val="91FC2290"/>
    <w:rsid w:val="926FA108"/>
    <w:rsid w:val="9376D5C8"/>
    <w:rsid w:val="939E3DB3"/>
    <w:rsid w:val="971EEBF9"/>
    <w:rsid w:val="979602E8"/>
    <w:rsid w:val="97DF2F14"/>
    <w:rsid w:val="97FBB6EB"/>
    <w:rsid w:val="97FF9B57"/>
    <w:rsid w:val="99BFD0A7"/>
    <w:rsid w:val="99FB4705"/>
    <w:rsid w:val="9B0956C8"/>
    <w:rsid w:val="9BBCD445"/>
    <w:rsid w:val="9CFB8099"/>
    <w:rsid w:val="9DBBADFE"/>
    <w:rsid w:val="9DFE4303"/>
    <w:rsid w:val="9E7FC310"/>
    <w:rsid w:val="9EBBCDE8"/>
    <w:rsid w:val="9EDB29B9"/>
    <w:rsid w:val="9EDF847B"/>
    <w:rsid w:val="9F57860F"/>
    <w:rsid w:val="9F7E83BC"/>
    <w:rsid w:val="9FAA1E79"/>
    <w:rsid w:val="9FDAFD84"/>
    <w:rsid w:val="9FE7929F"/>
    <w:rsid w:val="9FEEE9B9"/>
    <w:rsid w:val="9FF2DC44"/>
    <w:rsid w:val="9FF4F744"/>
    <w:rsid w:val="9FFA4BD1"/>
    <w:rsid w:val="9FFF1DA7"/>
    <w:rsid w:val="A5E73DD2"/>
    <w:rsid w:val="A77F0128"/>
    <w:rsid w:val="A9CFD01B"/>
    <w:rsid w:val="A9F6E7BA"/>
    <w:rsid w:val="AA73DDB7"/>
    <w:rsid w:val="ABEF9D54"/>
    <w:rsid w:val="ABF5260D"/>
    <w:rsid w:val="ABFA31A4"/>
    <w:rsid w:val="AC6F92C3"/>
    <w:rsid w:val="AD6DAE1A"/>
    <w:rsid w:val="ADE3DF10"/>
    <w:rsid w:val="ADFBCAD1"/>
    <w:rsid w:val="ADFF38DB"/>
    <w:rsid w:val="AE17E6FB"/>
    <w:rsid w:val="AE96EA6E"/>
    <w:rsid w:val="AEBB3E95"/>
    <w:rsid w:val="AEE79CC0"/>
    <w:rsid w:val="AF5B1B8B"/>
    <w:rsid w:val="AF5C8793"/>
    <w:rsid w:val="AF979623"/>
    <w:rsid w:val="AFE62D7B"/>
    <w:rsid w:val="AFE77282"/>
    <w:rsid w:val="AFEDA589"/>
    <w:rsid w:val="AFFE4237"/>
    <w:rsid w:val="AFFEB8F2"/>
    <w:rsid w:val="B2FFC9E7"/>
    <w:rsid w:val="B337DDCF"/>
    <w:rsid w:val="B37FF00B"/>
    <w:rsid w:val="B39EA0D9"/>
    <w:rsid w:val="B3DF946F"/>
    <w:rsid w:val="B3F7F657"/>
    <w:rsid w:val="B3FD20F2"/>
    <w:rsid w:val="B3FFDD73"/>
    <w:rsid w:val="B453D96F"/>
    <w:rsid w:val="B53DDEDC"/>
    <w:rsid w:val="B57FCA7F"/>
    <w:rsid w:val="B5DDCBA8"/>
    <w:rsid w:val="B5DFD61B"/>
    <w:rsid w:val="B5F73E27"/>
    <w:rsid w:val="B5FE3839"/>
    <w:rsid w:val="B5FE4DC0"/>
    <w:rsid w:val="B6DBE1F8"/>
    <w:rsid w:val="B6FEEB89"/>
    <w:rsid w:val="B6FF5108"/>
    <w:rsid w:val="B6FF9F6B"/>
    <w:rsid w:val="B737B11B"/>
    <w:rsid w:val="B77F5DE1"/>
    <w:rsid w:val="B7876DAB"/>
    <w:rsid w:val="B7DEB543"/>
    <w:rsid w:val="B7F753D8"/>
    <w:rsid w:val="B7F9AF5F"/>
    <w:rsid w:val="B91E5A96"/>
    <w:rsid w:val="B979EAE5"/>
    <w:rsid w:val="B9ACA7B9"/>
    <w:rsid w:val="B9D7D21C"/>
    <w:rsid w:val="B9F7BCFA"/>
    <w:rsid w:val="BA37F569"/>
    <w:rsid w:val="BA9DA00A"/>
    <w:rsid w:val="BB2B0C03"/>
    <w:rsid w:val="BB9FA3A4"/>
    <w:rsid w:val="BBB716C6"/>
    <w:rsid w:val="BBCF6D6B"/>
    <w:rsid w:val="BBDB1017"/>
    <w:rsid w:val="BBEDC4E2"/>
    <w:rsid w:val="BBFDD955"/>
    <w:rsid w:val="BBFE1663"/>
    <w:rsid w:val="BBFF149D"/>
    <w:rsid w:val="BBFF871A"/>
    <w:rsid w:val="BC578433"/>
    <w:rsid w:val="BC7F1D07"/>
    <w:rsid w:val="BC9E8286"/>
    <w:rsid w:val="BC9F765B"/>
    <w:rsid w:val="BCB349F8"/>
    <w:rsid w:val="BCDF2383"/>
    <w:rsid w:val="BCEFE232"/>
    <w:rsid w:val="BCFED484"/>
    <w:rsid w:val="BCFFB816"/>
    <w:rsid w:val="BD6E5A8A"/>
    <w:rsid w:val="BD75A479"/>
    <w:rsid w:val="BD7B4372"/>
    <w:rsid w:val="BDBB3948"/>
    <w:rsid w:val="BDBEF976"/>
    <w:rsid w:val="BDDC60A3"/>
    <w:rsid w:val="BDDDB18C"/>
    <w:rsid w:val="BDF3C4BC"/>
    <w:rsid w:val="BDF73C92"/>
    <w:rsid w:val="BDF765F6"/>
    <w:rsid w:val="BDF7F28A"/>
    <w:rsid w:val="BDFCD2A1"/>
    <w:rsid w:val="BDFDB891"/>
    <w:rsid w:val="BE8F61FF"/>
    <w:rsid w:val="BEA76C33"/>
    <w:rsid w:val="BEBCC0C0"/>
    <w:rsid w:val="BEBE6B4E"/>
    <w:rsid w:val="BEF59FF0"/>
    <w:rsid w:val="BEF89B81"/>
    <w:rsid w:val="BEFD6D96"/>
    <w:rsid w:val="BEFED243"/>
    <w:rsid w:val="BEFF1ECB"/>
    <w:rsid w:val="BF3B7045"/>
    <w:rsid w:val="BF7374EB"/>
    <w:rsid w:val="BFBEEF59"/>
    <w:rsid w:val="BFBF33C1"/>
    <w:rsid w:val="BFCE656F"/>
    <w:rsid w:val="BFD98C23"/>
    <w:rsid w:val="BFDD9601"/>
    <w:rsid w:val="BFDF031C"/>
    <w:rsid w:val="BFECC6D9"/>
    <w:rsid w:val="BFEFBAA7"/>
    <w:rsid w:val="BFFE0B01"/>
    <w:rsid w:val="BFFF0BA1"/>
    <w:rsid w:val="C335F688"/>
    <w:rsid w:val="C37EDC1F"/>
    <w:rsid w:val="C3D4FB9A"/>
    <w:rsid w:val="C59FCD24"/>
    <w:rsid w:val="C5FE4867"/>
    <w:rsid w:val="C5FFD6F0"/>
    <w:rsid w:val="C6DE0E63"/>
    <w:rsid w:val="C6F1C045"/>
    <w:rsid w:val="C76E776A"/>
    <w:rsid w:val="C77F76C9"/>
    <w:rsid w:val="CADE927D"/>
    <w:rsid w:val="CAFB2439"/>
    <w:rsid w:val="CB37AB53"/>
    <w:rsid w:val="CB3FDFB9"/>
    <w:rsid w:val="CB7D4528"/>
    <w:rsid w:val="CBA74DAD"/>
    <w:rsid w:val="CD70D15A"/>
    <w:rsid w:val="CD7FDC06"/>
    <w:rsid w:val="CECB3BD6"/>
    <w:rsid w:val="CF1F01F8"/>
    <w:rsid w:val="CF6702E8"/>
    <w:rsid w:val="CF7F0ADA"/>
    <w:rsid w:val="CFAFA8B3"/>
    <w:rsid w:val="CFBE596F"/>
    <w:rsid w:val="CFEB3B24"/>
    <w:rsid w:val="CFFE65AE"/>
    <w:rsid w:val="CFFFA018"/>
    <w:rsid w:val="D25FA9CA"/>
    <w:rsid w:val="D2AE25E6"/>
    <w:rsid w:val="D34FEDF1"/>
    <w:rsid w:val="D3F2FA30"/>
    <w:rsid w:val="D47F46C4"/>
    <w:rsid w:val="D4FFA1FF"/>
    <w:rsid w:val="D5AD09F7"/>
    <w:rsid w:val="D5DC246E"/>
    <w:rsid w:val="D67EB649"/>
    <w:rsid w:val="D6BB4FA3"/>
    <w:rsid w:val="D6FF0AD2"/>
    <w:rsid w:val="D76D9A37"/>
    <w:rsid w:val="D77CE423"/>
    <w:rsid w:val="D7BF26B5"/>
    <w:rsid w:val="D7CE51BA"/>
    <w:rsid w:val="D7EFE8F7"/>
    <w:rsid w:val="D7F9272C"/>
    <w:rsid w:val="D8AD4578"/>
    <w:rsid w:val="D99F5AC5"/>
    <w:rsid w:val="D9DEF241"/>
    <w:rsid w:val="D9DFA9B2"/>
    <w:rsid w:val="DB551BA2"/>
    <w:rsid w:val="DB6F7390"/>
    <w:rsid w:val="DB7A8AE6"/>
    <w:rsid w:val="DBAD5F9B"/>
    <w:rsid w:val="DCFF2B66"/>
    <w:rsid w:val="DCFF3C30"/>
    <w:rsid w:val="DD77F5C7"/>
    <w:rsid w:val="DDA5AB18"/>
    <w:rsid w:val="DDD44021"/>
    <w:rsid w:val="DDF7BB5D"/>
    <w:rsid w:val="DDFACD3C"/>
    <w:rsid w:val="DDFF75D3"/>
    <w:rsid w:val="DDFF99FD"/>
    <w:rsid w:val="DE0E315C"/>
    <w:rsid w:val="DE374209"/>
    <w:rsid w:val="DEA69F54"/>
    <w:rsid w:val="DEB4B4DC"/>
    <w:rsid w:val="DEB6E6F2"/>
    <w:rsid w:val="DEDBDB5A"/>
    <w:rsid w:val="DEE4EDED"/>
    <w:rsid w:val="DEEF1FFD"/>
    <w:rsid w:val="DEEF7289"/>
    <w:rsid w:val="DEFE1564"/>
    <w:rsid w:val="DF1BC291"/>
    <w:rsid w:val="DF5F5393"/>
    <w:rsid w:val="DF5FDA3F"/>
    <w:rsid w:val="DF7113B8"/>
    <w:rsid w:val="DF755E08"/>
    <w:rsid w:val="DF7E6041"/>
    <w:rsid w:val="DF9237FE"/>
    <w:rsid w:val="DFB36254"/>
    <w:rsid w:val="DFB3BACE"/>
    <w:rsid w:val="DFB7E1F9"/>
    <w:rsid w:val="DFBD1245"/>
    <w:rsid w:val="DFBEE897"/>
    <w:rsid w:val="DFCF8FB9"/>
    <w:rsid w:val="DFE7D979"/>
    <w:rsid w:val="DFEB714C"/>
    <w:rsid w:val="DFEDEC74"/>
    <w:rsid w:val="DFF7AA89"/>
    <w:rsid w:val="DFFD3C7B"/>
    <w:rsid w:val="DFFF50B4"/>
    <w:rsid w:val="E19AD666"/>
    <w:rsid w:val="E1FF2836"/>
    <w:rsid w:val="E2F3D63A"/>
    <w:rsid w:val="E36DD547"/>
    <w:rsid w:val="E3DD847B"/>
    <w:rsid w:val="E3E74D65"/>
    <w:rsid w:val="E3FE57C8"/>
    <w:rsid w:val="E4B71478"/>
    <w:rsid w:val="E5AFBE85"/>
    <w:rsid w:val="E5BF98E0"/>
    <w:rsid w:val="E6BFED86"/>
    <w:rsid w:val="E6D60022"/>
    <w:rsid w:val="E764CC0B"/>
    <w:rsid w:val="E76F7A78"/>
    <w:rsid w:val="E7D5C629"/>
    <w:rsid w:val="E7FFA950"/>
    <w:rsid w:val="E8DC18CA"/>
    <w:rsid w:val="E8F7B6B8"/>
    <w:rsid w:val="E919BAFA"/>
    <w:rsid w:val="E96B4C62"/>
    <w:rsid w:val="E9DBD7F3"/>
    <w:rsid w:val="EADB9567"/>
    <w:rsid w:val="EAF2CB22"/>
    <w:rsid w:val="EAFF36D2"/>
    <w:rsid w:val="EAFFC35A"/>
    <w:rsid w:val="EB532CEF"/>
    <w:rsid w:val="EB9FA6CD"/>
    <w:rsid w:val="EBA7885C"/>
    <w:rsid w:val="EBB7D72D"/>
    <w:rsid w:val="EBEF3381"/>
    <w:rsid w:val="EBEFA88D"/>
    <w:rsid w:val="EBFE79B4"/>
    <w:rsid w:val="EBFF3C97"/>
    <w:rsid w:val="EC5F3DF8"/>
    <w:rsid w:val="ECBFE48C"/>
    <w:rsid w:val="ECFFE31D"/>
    <w:rsid w:val="ED2FD6C9"/>
    <w:rsid w:val="ED3D6A88"/>
    <w:rsid w:val="ED78A3FD"/>
    <w:rsid w:val="ED7FD3F2"/>
    <w:rsid w:val="ED8A5B22"/>
    <w:rsid w:val="ED8F8CA8"/>
    <w:rsid w:val="EDCDF313"/>
    <w:rsid w:val="EDDF9529"/>
    <w:rsid w:val="EDE7B6AD"/>
    <w:rsid w:val="EDF2B816"/>
    <w:rsid w:val="EDF78CBE"/>
    <w:rsid w:val="EDFBE145"/>
    <w:rsid w:val="EE5D0B1E"/>
    <w:rsid w:val="EE9F7B44"/>
    <w:rsid w:val="EEB3DDC8"/>
    <w:rsid w:val="EEBE564A"/>
    <w:rsid w:val="EEBF44FA"/>
    <w:rsid w:val="EEDFDD0C"/>
    <w:rsid w:val="EEF02CD2"/>
    <w:rsid w:val="EEF13C01"/>
    <w:rsid w:val="EEF9AAE0"/>
    <w:rsid w:val="EEFE93BE"/>
    <w:rsid w:val="EEFEC7A5"/>
    <w:rsid w:val="EF1F9018"/>
    <w:rsid w:val="EF3D10BE"/>
    <w:rsid w:val="EF5B8D96"/>
    <w:rsid w:val="EF5F6A56"/>
    <w:rsid w:val="EF5F6AD8"/>
    <w:rsid w:val="EF6CB25D"/>
    <w:rsid w:val="EF6F1FB8"/>
    <w:rsid w:val="EF777D40"/>
    <w:rsid w:val="EF7A704C"/>
    <w:rsid w:val="EFAD19DB"/>
    <w:rsid w:val="EFBDFFFF"/>
    <w:rsid w:val="EFBF9029"/>
    <w:rsid w:val="EFBFDDE8"/>
    <w:rsid w:val="EFD0F43F"/>
    <w:rsid w:val="EFD47AFB"/>
    <w:rsid w:val="EFE7A407"/>
    <w:rsid w:val="EFE95745"/>
    <w:rsid w:val="EFF17321"/>
    <w:rsid w:val="EFFB4BBF"/>
    <w:rsid w:val="EFFF88D0"/>
    <w:rsid w:val="EFFF8E9F"/>
    <w:rsid w:val="EFFFB4D8"/>
    <w:rsid w:val="EFFFE09F"/>
    <w:rsid w:val="F06F0348"/>
    <w:rsid w:val="F1978354"/>
    <w:rsid w:val="F1FF1ADC"/>
    <w:rsid w:val="F1FF2E20"/>
    <w:rsid w:val="F25996C0"/>
    <w:rsid w:val="F27F6C45"/>
    <w:rsid w:val="F2F5DC79"/>
    <w:rsid w:val="F2FBAAA4"/>
    <w:rsid w:val="F33FFF2F"/>
    <w:rsid w:val="F3BF87D0"/>
    <w:rsid w:val="F3D8F379"/>
    <w:rsid w:val="F3DDAB5A"/>
    <w:rsid w:val="F3F31866"/>
    <w:rsid w:val="F57356A8"/>
    <w:rsid w:val="F57F4DEC"/>
    <w:rsid w:val="F59EB3FB"/>
    <w:rsid w:val="F5A78F63"/>
    <w:rsid w:val="F5DD2FB3"/>
    <w:rsid w:val="F5EF3783"/>
    <w:rsid w:val="F63F2C1B"/>
    <w:rsid w:val="F67BA745"/>
    <w:rsid w:val="F6B6DA7F"/>
    <w:rsid w:val="F6BFF652"/>
    <w:rsid w:val="F6DA961A"/>
    <w:rsid w:val="F6DB9538"/>
    <w:rsid w:val="F71EBFDD"/>
    <w:rsid w:val="F73E2DCD"/>
    <w:rsid w:val="F73F01E2"/>
    <w:rsid w:val="F73F2D9D"/>
    <w:rsid w:val="F74E3598"/>
    <w:rsid w:val="F75FAFE6"/>
    <w:rsid w:val="F76F3BB6"/>
    <w:rsid w:val="F77FA674"/>
    <w:rsid w:val="F77FBC5F"/>
    <w:rsid w:val="F7879A83"/>
    <w:rsid w:val="F7AF51EF"/>
    <w:rsid w:val="F7C772D5"/>
    <w:rsid w:val="F7CEBBA6"/>
    <w:rsid w:val="F7D5B0A9"/>
    <w:rsid w:val="F7D93817"/>
    <w:rsid w:val="F7DDF3E8"/>
    <w:rsid w:val="F7DFA68B"/>
    <w:rsid w:val="F7F6D992"/>
    <w:rsid w:val="F7FBC781"/>
    <w:rsid w:val="F7FDAF87"/>
    <w:rsid w:val="F7FE6F2A"/>
    <w:rsid w:val="F7FF591D"/>
    <w:rsid w:val="F7FF83D7"/>
    <w:rsid w:val="F96DEE9F"/>
    <w:rsid w:val="F987A287"/>
    <w:rsid w:val="F99E5991"/>
    <w:rsid w:val="F99FCD12"/>
    <w:rsid w:val="F9BF61F2"/>
    <w:rsid w:val="F9BFE398"/>
    <w:rsid w:val="F9E5F5D2"/>
    <w:rsid w:val="F9EEE004"/>
    <w:rsid w:val="F9F767D5"/>
    <w:rsid w:val="F9F7AA55"/>
    <w:rsid w:val="F9FBB37A"/>
    <w:rsid w:val="F9FFD579"/>
    <w:rsid w:val="FA7E80AE"/>
    <w:rsid w:val="FA87EB6C"/>
    <w:rsid w:val="FA997347"/>
    <w:rsid w:val="FAB23F28"/>
    <w:rsid w:val="FABD8739"/>
    <w:rsid w:val="FAF92F7E"/>
    <w:rsid w:val="FAFB0DB0"/>
    <w:rsid w:val="FAFB2312"/>
    <w:rsid w:val="FAFBD6DC"/>
    <w:rsid w:val="FAFD133D"/>
    <w:rsid w:val="FAFF785F"/>
    <w:rsid w:val="FB23D3CD"/>
    <w:rsid w:val="FB3EAFB0"/>
    <w:rsid w:val="FB3FC325"/>
    <w:rsid w:val="FB47C34A"/>
    <w:rsid w:val="FB4E1EE9"/>
    <w:rsid w:val="FB4F2943"/>
    <w:rsid w:val="FB7419FB"/>
    <w:rsid w:val="FB7D6D7D"/>
    <w:rsid w:val="FBAF0C18"/>
    <w:rsid w:val="FBBB02F4"/>
    <w:rsid w:val="FBBF8290"/>
    <w:rsid w:val="FBCF5980"/>
    <w:rsid w:val="FBD2FD27"/>
    <w:rsid w:val="FBEEA9DB"/>
    <w:rsid w:val="FBEF23CF"/>
    <w:rsid w:val="FBF95ACC"/>
    <w:rsid w:val="FBFAF8A8"/>
    <w:rsid w:val="FBFB155F"/>
    <w:rsid w:val="FBFE4F91"/>
    <w:rsid w:val="FBFFBC84"/>
    <w:rsid w:val="FBFFF83C"/>
    <w:rsid w:val="FC376E87"/>
    <w:rsid w:val="FC580C1F"/>
    <w:rsid w:val="FC60EF5B"/>
    <w:rsid w:val="FC679DCE"/>
    <w:rsid w:val="FC7C7F48"/>
    <w:rsid w:val="FCB710D6"/>
    <w:rsid w:val="FCBB2161"/>
    <w:rsid w:val="FCBE31FF"/>
    <w:rsid w:val="FCBED8B6"/>
    <w:rsid w:val="FCBF7EDD"/>
    <w:rsid w:val="FCBFCFBA"/>
    <w:rsid w:val="FCEB5DE9"/>
    <w:rsid w:val="FCED55F9"/>
    <w:rsid w:val="FCF98840"/>
    <w:rsid w:val="FCFC0CDA"/>
    <w:rsid w:val="FCFFEB3F"/>
    <w:rsid w:val="FD3C669E"/>
    <w:rsid w:val="FD4E09D2"/>
    <w:rsid w:val="FD57BF19"/>
    <w:rsid w:val="FD5F3B51"/>
    <w:rsid w:val="FD7FF81B"/>
    <w:rsid w:val="FD7FFEF2"/>
    <w:rsid w:val="FDB99AD5"/>
    <w:rsid w:val="FDBF40AA"/>
    <w:rsid w:val="FDBF5EF8"/>
    <w:rsid w:val="FDD53DF2"/>
    <w:rsid w:val="FDD56892"/>
    <w:rsid w:val="FDD7CA56"/>
    <w:rsid w:val="FDDF904E"/>
    <w:rsid w:val="FDF3D45D"/>
    <w:rsid w:val="FDF58A61"/>
    <w:rsid w:val="FDF7C36A"/>
    <w:rsid w:val="FDF7CC70"/>
    <w:rsid w:val="FDFBAAAD"/>
    <w:rsid w:val="FDFBBFD1"/>
    <w:rsid w:val="FDFDF662"/>
    <w:rsid w:val="FDFE0854"/>
    <w:rsid w:val="FDFEC962"/>
    <w:rsid w:val="FDFEEBF8"/>
    <w:rsid w:val="FDFEF6BD"/>
    <w:rsid w:val="FDFFD83A"/>
    <w:rsid w:val="FE1DB343"/>
    <w:rsid w:val="FE6938BD"/>
    <w:rsid w:val="FE79C651"/>
    <w:rsid w:val="FE867391"/>
    <w:rsid w:val="FE9D5241"/>
    <w:rsid w:val="FEAA8CA8"/>
    <w:rsid w:val="FEAAF366"/>
    <w:rsid w:val="FEBB170E"/>
    <w:rsid w:val="FEBD957F"/>
    <w:rsid w:val="FEBF9FEB"/>
    <w:rsid w:val="FECB057F"/>
    <w:rsid w:val="FECF6888"/>
    <w:rsid w:val="FED2BCEC"/>
    <w:rsid w:val="FED7994F"/>
    <w:rsid w:val="FEDEF732"/>
    <w:rsid w:val="FEE6BAAC"/>
    <w:rsid w:val="FEEB5A37"/>
    <w:rsid w:val="FEF32360"/>
    <w:rsid w:val="FEFB7700"/>
    <w:rsid w:val="FEFCE624"/>
    <w:rsid w:val="FEFD9FDE"/>
    <w:rsid w:val="FEFF8844"/>
    <w:rsid w:val="FEFFAC29"/>
    <w:rsid w:val="FF07A50A"/>
    <w:rsid w:val="FF1F16D4"/>
    <w:rsid w:val="FF2BC3B0"/>
    <w:rsid w:val="FF374416"/>
    <w:rsid w:val="FF3A5BEB"/>
    <w:rsid w:val="FF3B2BEA"/>
    <w:rsid w:val="FF57E5F2"/>
    <w:rsid w:val="FF5EA250"/>
    <w:rsid w:val="FF5F9293"/>
    <w:rsid w:val="FF6F40E1"/>
    <w:rsid w:val="FF6F43E4"/>
    <w:rsid w:val="FF75B7FE"/>
    <w:rsid w:val="FF7D9AFF"/>
    <w:rsid w:val="FF7ED9C0"/>
    <w:rsid w:val="FF7FCF47"/>
    <w:rsid w:val="FF932FB5"/>
    <w:rsid w:val="FF9C0707"/>
    <w:rsid w:val="FF9DDC90"/>
    <w:rsid w:val="FF9F9845"/>
    <w:rsid w:val="FFA381E9"/>
    <w:rsid w:val="FFA5209C"/>
    <w:rsid w:val="FFBA9A5A"/>
    <w:rsid w:val="FFBAC180"/>
    <w:rsid w:val="FFBC9A19"/>
    <w:rsid w:val="FFBD73A7"/>
    <w:rsid w:val="FFBF09D8"/>
    <w:rsid w:val="FFBF5F2B"/>
    <w:rsid w:val="FFBF9F10"/>
    <w:rsid w:val="FFCD94C4"/>
    <w:rsid w:val="FFCE6D93"/>
    <w:rsid w:val="FFCF2B19"/>
    <w:rsid w:val="FFD586E7"/>
    <w:rsid w:val="FFD70C83"/>
    <w:rsid w:val="FFD79FBF"/>
    <w:rsid w:val="FFD7F5D4"/>
    <w:rsid w:val="FFDB9E23"/>
    <w:rsid w:val="FFE48A63"/>
    <w:rsid w:val="FFE6BDAB"/>
    <w:rsid w:val="FFE7ED8E"/>
    <w:rsid w:val="FFE895C8"/>
    <w:rsid w:val="FFEA028B"/>
    <w:rsid w:val="FFEB13F2"/>
    <w:rsid w:val="FFEB288F"/>
    <w:rsid w:val="FFEBA3FB"/>
    <w:rsid w:val="FFED8D6A"/>
    <w:rsid w:val="FFED9DBF"/>
    <w:rsid w:val="FFEDE9F4"/>
    <w:rsid w:val="FFEEBBED"/>
    <w:rsid w:val="FFEF0944"/>
    <w:rsid w:val="FFEF0FE1"/>
    <w:rsid w:val="FFEF1198"/>
    <w:rsid w:val="FFEF4465"/>
    <w:rsid w:val="FFEF52A8"/>
    <w:rsid w:val="FFEF7937"/>
    <w:rsid w:val="FFEFB2F3"/>
    <w:rsid w:val="FFF5CE24"/>
    <w:rsid w:val="FFF70FC9"/>
    <w:rsid w:val="FFF77EF4"/>
    <w:rsid w:val="FFF79BAF"/>
    <w:rsid w:val="FFF832F8"/>
    <w:rsid w:val="FFFA0145"/>
    <w:rsid w:val="FFFACDAE"/>
    <w:rsid w:val="FFFAED4A"/>
    <w:rsid w:val="FFFBB4CE"/>
    <w:rsid w:val="FFFBC7F6"/>
    <w:rsid w:val="FFFD1CEF"/>
    <w:rsid w:val="FFFDE69C"/>
    <w:rsid w:val="FFFDF773"/>
    <w:rsid w:val="FFFEC0A3"/>
    <w:rsid w:val="FFFF3CF0"/>
    <w:rsid w:val="FFFF4664"/>
    <w:rsid w:val="FFFF4760"/>
    <w:rsid w:val="FFFF4D38"/>
    <w:rsid w:val="FFFF639E"/>
    <w:rsid w:val="FFFFD9C4"/>
    <w:rsid w:val="FFFFE72C"/>
    <w:rsid w:val="FFFFE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DD3DF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Default Paragraph Font" w:uiPriority="1" w:unhideWhenUsed="1"/>
    <w:lsdException w:name="Subtitle" w:qFormat="1"/>
    <w:lsdException w:name="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 w:unhideWhenUsed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B1591"/>
    <w:pPr>
      <w:spacing w:after="240"/>
      <w:jc w:val="both"/>
    </w:pPr>
    <w:rPr>
      <w:sz w:val="24"/>
      <w:szCs w:val="24"/>
      <w:lang w:val="en-GB" w:bidi="ar-AE"/>
    </w:rPr>
  </w:style>
  <w:style w:type="paragraph" w:styleId="Heading1">
    <w:name w:val="heading 1"/>
    <w:basedOn w:val="Normal"/>
    <w:next w:val="Normal"/>
    <w:link w:val="Heading1Char"/>
    <w:qFormat/>
    <w:pPr>
      <w:outlineLvl w:val="0"/>
    </w:pPr>
    <w:rPr>
      <w:rFonts w:cs="Simplified Arabic"/>
    </w:rPr>
  </w:style>
  <w:style w:type="paragraph" w:styleId="Heading2">
    <w:name w:val="heading 2"/>
    <w:basedOn w:val="Normal"/>
    <w:next w:val="BodyText"/>
    <w:link w:val="Heading2Char"/>
    <w:qFormat/>
    <w:pPr>
      <w:outlineLvl w:val="1"/>
    </w:pPr>
    <w:rPr>
      <w:rFonts w:cs="Simplified Arabic"/>
    </w:rPr>
  </w:style>
  <w:style w:type="paragraph" w:styleId="Heading3">
    <w:name w:val="heading 3"/>
    <w:basedOn w:val="Heading2"/>
    <w:next w:val="BodyText"/>
    <w:link w:val="Heading3Char"/>
    <w:qFormat/>
    <w:pPr>
      <w:outlineLvl w:val="2"/>
    </w:pPr>
  </w:style>
  <w:style w:type="paragraph" w:styleId="Heading4">
    <w:name w:val="heading 4"/>
    <w:basedOn w:val="Normal"/>
    <w:next w:val="BodyText"/>
    <w:link w:val="Heading4Char"/>
    <w:qFormat/>
    <w:pPr>
      <w:outlineLvl w:val="3"/>
    </w:pPr>
    <w:rPr>
      <w:rFonts w:cs="Simplified Arabic"/>
    </w:rPr>
  </w:style>
  <w:style w:type="paragraph" w:styleId="Heading5">
    <w:name w:val="heading 5"/>
    <w:basedOn w:val="Normal"/>
    <w:next w:val="BodyText"/>
    <w:link w:val="Heading5Char"/>
    <w:qFormat/>
    <w:pPr>
      <w:outlineLvl w:val="4"/>
    </w:pPr>
    <w:rPr>
      <w:rFonts w:cs="Simplified Arabic"/>
    </w:rPr>
  </w:style>
  <w:style w:type="paragraph" w:styleId="Heading6">
    <w:name w:val="heading 6"/>
    <w:basedOn w:val="Normal"/>
    <w:next w:val="BodyText"/>
    <w:link w:val="Heading6Char"/>
    <w:qFormat/>
    <w:pPr>
      <w:outlineLvl w:val="5"/>
    </w:pPr>
    <w:rPr>
      <w:rFonts w:cs="Simplified Arabic"/>
    </w:rPr>
  </w:style>
  <w:style w:type="paragraph" w:styleId="Heading7">
    <w:name w:val="heading 7"/>
    <w:basedOn w:val="Normal"/>
    <w:next w:val="BodyText"/>
    <w:link w:val="Heading7Char"/>
    <w:qFormat/>
    <w:pPr>
      <w:outlineLvl w:val="6"/>
    </w:pPr>
    <w:rPr>
      <w:rFonts w:cs="Simplified Arabic"/>
    </w:rPr>
  </w:style>
  <w:style w:type="paragraph" w:styleId="Heading8">
    <w:name w:val="heading 8"/>
    <w:basedOn w:val="Normal"/>
    <w:next w:val="BodyText"/>
    <w:link w:val="Heading8Char"/>
    <w:qFormat/>
    <w:pPr>
      <w:outlineLvl w:val="7"/>
    </w:pPr>
    <w:rPr>
      <w:rFonts w:cs="Simplified Arabic"/>
    </w:rPr>
  </w:style>
  <w:style w:type="paragraph" w:styleId="Heading9">
    <w:name w:val="heading 9"/>
    <w:basedOn w:val="Normal"/>
    <w:next w:val="BodyText"/>
    <w:link w:val="Heading9Char"/>
    <w:qFormat/>
    <w:pPr>
      <w:outlineLvl w:val="8"/>
    </w:pPr>
    <w:rPr>
      <w:rFonts w:cs="Simplified Arabic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link w:val="MacroTextChar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 w:cs="Courier New"/>
      <w:lang w:val="en-GB" w:bidi="ar-AE"/>
    </w:rPr>
  </w:style>
  <w:style w:type="character" w:customStyle="1" w:styleId="MacroTextChar">
    <w:name w:val="Macro Text Char"/>
    <w:link w:val="MacroText"/>
    <w:rPr>
      <w:rFonts w:ascii="Courier New" w:hAnsi="Courier New" w:cs="Courier New"/>
      <w:lang w:val="en-GB" w:eastAsia="zh-CN" w:bidi="ar-AE"/>
    </w:rPr>
  </w:style>
  <w:style w:type="character" w:customStyle="1" w:styleId="Heading1Char">
    <w:name w:val="Heading 1 Char"/>
    <w:link w:val="Heading1"/>
    <w:rPr>
      <w:sz w:val="24"/>
      <w:szCs w:val="24"/>
      <w:lang w:bidi="ar-AE"/>
    </w:rPr>
  </w:style>
  <w:style w:type="character" w:customStyle="1" w:styleId="Heading2Char">
    <w:name w:val="Heading 2 Char"/>
    <w:link w:val="Heading2"/>
    <w:rPr>
      <w:sz w:val="24"/>
      <w:szCs w:val="24"/>
      <w:lang w:bidi="ar-AE"/>
    </w:rPr>
  </w:style>
  <w:style w:type="paragraph" w:styleId="BodyText">
    <w:name w:val="Body Text"/>
    <w:basedOn w:val="Normal"/>
    <w:link w:val="BodyTextChar"/>
    <w:rPr>
      <w:rFonts w:cs="Simplified Arabic"/>
      <w:lang w:eastAsia="en-GB"/>
    </w:rPr>
  </w:style>
  <w:style w:type="character" w:customStyle="1" w:styleId="BodyTextChar">
    <w:name w:val="Body Text Char"/>
    <w:link w:val="BodyText"/>
    <w:rPr>
      <w:sz w:val="24"/>
      <w:szCs w:val="24"/>
      <w:lang w:eastAsia="en-GB" w:bidi="ar-AE"/>
    </w:rPr>
  </w:style>
  <w:style w:type="character" w:customStyle="1" w:styleId="Heading3Char">
    <w:name w:val="Heading 3 Char"/>
    <w:link w:val="Heading3"/>
    <w:rPr>
      <w:sz w:val="24"/>
      <w:szCs w:val="24"/>
      <w:lang w:bidi="ar-AE"/>
    </w:rPr>
  </w:style>
  <w:style w:type="character" w:customStyle="1" w:styleId="Heading4Char">
    <w:name w:val="Heading 4 Char"/>
    <w:link w:val="Heading4"/>
    <w:rPr>
      <w:sz w:val="24"/>
      <w:szCs w:val="24"/>
      <w:lang w:bidi="ar-AE"/>
    </w:rPr>
  </w:style>
  <w:style w:type="character" w:customStyle="1" w:styleId="Heading5Char">
    <w:name w:val="Heading 5 Char"/>
    <w:link w:val="Heading5"/>
    <w:rPr>
      <w:sz w:val="24"/>
      <w:szCs w:val="24"/>
      <w:lang w:bidi="ar-AE"/>
    </w:rPr>
  </w:style>
  <w:style w:type="character" w:customStyle="1" w:styleId="Heading6Char">
    <w:name w:val="Heading 6 Char"/>
    <w:link w:val="Heading6"/>
    <w:rPr>
      <w:sz w:val="24"/>
      <w:szCs w:val="24"/>
      <w:lang w:bidi="ar-AE"/>
    </w:rPr>
  </w:style>
  <w:style w:type="character" w:customStyle="1" w:styleId="Heading7Char">
    <w:name w:val="Heading 7 Char"/>
    <w:link w:val="Heading7"/>
    <w:rPr>
      <w:sz w:val="24"/>
      <w:szCs w:val="24"/>
      <w:lang w:bidi="ar-AE"/>
    </w:rPr>
  </w:style>
  <w:style w:type="character" w:customStyle="1" w:styleId="Heading8Char">
    <w:name w:val="Heading 8 Char"/>
    <w:link w:val="Heading8"/>
    <w:rPr>
      <w:sz w:val="24"/>
      <w:szCs w:val="24"/>
      <w:lang w:bidi="ar-AE"/>
    </w:rPr>
  </w:style>
  <w:style w:type="character" w:customStyle="1" w:styleId="Heading9Char">
    <w:name w:val="Heading 9 Char"/>
    <w:link w:val="Heading9"/>
    <w:rPr>
      <w:sz w:val="24"/>
      <w:szCs w:val="24"/>
      <w:lang w:bidi="ar-AE"/>
    </w:rPr>
  </w:style>
  <w:style w:type="paragraph" w:styleId="List3">
    <w:name w:val="List 3"/>
    <w:basedOn w:val="Normal"/>
    <w:pPr>
      <w:ind w:left="1080" w:hanging="360"/>
      <w:contextualSpacing/>
    </w:pPr>
  </w:style>
  <w:style w:type="paragraph" w:styleId="TOC7">
    <w:name w:val="toc 7"/>
    <w:basedOn w:val="Normal"/>
    <w:next w:val="Normal"/>
    <w:pPr>
      <w:ind w:left="1440"/>
    </w:pPr>
  </w:style>
  <w:style w:type="paragraph" w:styleId="TableofAuthorities">
    <w:name w:val="table of authorities"/>
    <w:basedOn w:val="Normal"/>
    <w:next w:val="Normal"/>
    <w:pPr>
      <w:ind w:left="240" w:hanging="240"/>
    </w:pPr>
  </w:style>
  <w:style w:type="paragraph" w:styleId="NoteHeading">
    <w:name w:val="Note Heading"/>
    <w:basedOn w:val="Normal"/>
    <w:next w:val="Normal"/>
    <w:link w:val="NoteHeadingChar"/>
    <w:rPr>
      <w:rFonts w:cs="Simplified Arabic"/>
    </w:rPr>
  </w:style>
  <w:style w:type="character" w:customStyle="1" w:styleId="NoteHeadingChar">
    <w:name w:val="Note Heading Char"/>
    <w:link w:val="NoteHeading"/>
    <w:rPr>
      <w:sz w:val="24"/>
      <w:szCs w:val="24"/>
      <w:lang w:bidi="ar-AE"/>
    </w:rPr>
  </w:style>
  <w:style w:type="paragraph" w:styleId="Index8">
    <w:name w:val="index 8"/>
    <w:basedOn w:val="Normal"/>
    <w:next w:val="Normal"/>
    <w:pPr>
      <w:ind w:left="1920" w:hanging="240"/>
    </w:pPr>
  </w:style>
  <w:style w:type="paragraph" w:styleId="E-mailSignature">
    <w:name w:val="E-mail Signature"/>
    <w:basedOn w:val="Normal"/>
    <w:link w:val="E-mailSignatureChar"/>
    <w:rPr>
      <w:rFonts w:cs="Simplified Arabic"/>
    </w:rPr>
  </w:style>
  <w:style w:type="character" w:customStyle="1" w:styleId="E-mailSignatureChar">
    <w:name w:val="E-mail Signature Char"/>
    <w:link w:val="E-mailSignature"/>
    <w:rPr>
      <w:sz w:val="24"/>
      <w:szCs w:val="24"/>
      <w:lang w:bidi="ar-AE"/>
    </w:rPr>
  </w:style>
  <w:style w:type="paragraph" w:styleId="NormalIndent">
    <w:name w:val="Normal Indent"/>
    <w:basedOn w:val="Normal"/>
    <w:pPr>
      <w:ind w:left="720"/>
    </w:pPr>
  </w:style>
  <w:style w:type="paragraph" w:styleId="Caption">
    <w:name w:val="caption"/>
    <w:basedOn w:val="Normal"/>
    <w:next w:val="Normal"/>
    <w:qFormat/>
    <w:rPr>
      <w:b/>
      <w:bCs/>
      <w:sz w:val="20"/>
      <w:szCs w:val="20"/>
    </w:rPr>
  </w:style>
  <w:style w:type="paragraph" w:styleId="Index5">
    <w:name w:val="index 5"/>
    <w:basedOn w:val="Normal"/>
    <w:next w:val="Normal"/>
    <w:pPr>
      <w:ind w:left="1200" w:hanging="240"/>
    </w:p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cs="Simplified Arabic"/>
    </w:rPr>
  </w:style>
  <w:style w:type="paragraph" w:styleId="DocumentMap">
    <w:name w:val="Document Map"/>
    <w:basedOn w:val="Normal"/>
    <w:link w:val="DocumentMapChar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Pr>
      <w:rFonts w:ascii="Tahoma" w:hAnsi="Tahoma" w:cs="Tahoma"/>
      <w:sz w:val="16"/>
      <w:szCs w:val="16"/>
      <w:lang w:bidi="ar-AE"/>
    </w:rPr>
  </w:style>
  <w:style w:type="paragraph" w:styleId="TOAHeading">
    <w:name w:val="toa heading"/>
    <w:basedOn w:val="Normal"/>
    <w:next w:val="Normal"/>
    <w:pPr>
      <w:spacing w:before="120"/>
    </w:pPr>
    <w:rPr>
      <w:rFonts w:cs="Simplified Arabic"/>
      <w:b/>
      <w:bCs/>
    </w:rPr>
  </w:style>
  <w:style w:type="paragraph" w:styleId="CommentText">
    <w:name w:val="annotation text"/>
    <w:basedOn w:val="Normal"/>
    <w:link w:val="CommentTextChar"/>
    <w:pPr>
      <w:spacing w:after="120"/>
    </w:pPr>
    <w:rPr>
      <w:rFonts w:cs="Simplified Arabic"/>
      <w:sz w:val="20"/>
      <w:szCs w:val="20"/>
    </w:rPr>
  </w:style>
  <w:style w:type="character" w:customStyle="1" w:styleId="CommentTextChar">
    <w:name w:val="Comment Text Char"/>
    <w:link w:val="CommentText"/>
    <w:rPr>
      <w:lang w:bidi="ar-AE"/>
    </w:rPr>
  </w:style>
  <w:style w:type="paragraph" w:styleId="Index6">
    <w:name w:val="index 6"/>
    <w:basedOn w:val="Normal"/>
    <w:next w:val="Normal"/>
    <w:pPr>
      <w:ind w:left="1440" w:hanging="240"/>
    </w:pPr>
  </w:style>
  <w:style w:type="paragraph" w:styleId="Salutation">
    <w:name w:val="Salutation"/>
    <w:basedOn w:val="Normal"/>
    <w:next w:val="Normal"/>
    <w:link w:val="SalutationChar"/>
    <w:rPr>
      <w:rFonts w:cs="Simplified Arabic"/>
    </w:rPr>
  </w:style>
  <w:style w:type="character" w:customStyle="1" w:styleId="SalutationChar">
    <w:name w:val="Salutation Char"/>
    <w:link w:val="Salutation"/>
    <w:rPr>
      <w:sz w:val="24"/>
      <w:szCs w:val="24"/>
      <w:lang w:bidi="ar-AE"/>
    </w:rPr>
  </w:style>
  <w:style w:type="paragraph" w:styleId="BodyText3">
    <w:name w:val="Body Text 3"/>
    <w:basedOn w:val="Normal"/>
    <w:link w:val="BodyText3Char"/>
    <w:pPr>
      <w:ind w:left="2160"/>
    </w:pPr>
    <w:rPr>
      <w:rFonts w:cs="Simplified Arabic"/>
      <w:lang w:eastAsia="en-GB"/>
    </w:rPr>
  </w:style>
  <w:style w:type="character" w:customStyle="1" w:styleId="BodyText3Char">
    <w:name w:val="Body Text 3 Char"/>
    <w:link w:val="BodyText3"/>
    <w:rPr>
      <w:sz w:val="24"/>
      <w:szCs w:val="24"/>
      <w:lang w:eastAsia="en-GB" w:bidi="ar-AE"/>
    </w:rPr>
  </w:style>
  <w:style w:type="paragraph" w:styleId="Closing">
    <w:name w:val="Closing"/>
    <w:basedOn w:val="Normal"/>
    <w:link w:val="ClosingChar"/>
    <w:pPr>
      <w:ind w:left="4320"/>
    </w:pPr>
    <w:rPr>
      <w:rFonts w:cs="Simplified Arabic"/>
    </w:rPr>
  </w:style>
  <w:style w:type="character" w:customStyle="1" w:styleId="ClosingChar">
    <w:name w:val="Closing Char"/>
    <w:link w:val="Closing"/>
    <w:rPr>
      <w:sz w:val="24"/>
      <w:szCs w:val="24"/>
      <w:lang w:bidi="ar-AE"/>
    </w:rPr>
  </w:style>
  <w:style w:type="paragraph" w:styleId="BodyTextIndent">
    <w:name w:val="Body Text Indent"/>
    <w:basedOn w:val="Normal"/>
    <w:link w:val="BodyTextIndentChar"/>
    <w:pPr>
      <w:spacing w:after="120"/>
      <w:ind w:left="283"/>
    </w:pPr>
    <w:rPr>
      <w:rFonts w:cs="Simplified Arabic"/>
    </w:rPr>
  </w:style>
  <w:style w:type="character" w:customStyle="1" w:styleId="BodyTextIndentChar">
    <w:name w:val="Body Text Indent Char"/>
    <w:link w:val="BodyTextIndent"/>
    <w:rPr>
      <w:sz w:val="24"/>
      <w:szCs w:val="24"/>
      <w:lang w:bidi="ar-AE"/>
    </w:rPr>
  </w:style>
  <w:style w:type="paragraph" w:styleId="List2">
    <w:name w:val="List 2"/>
    <w:basedOn w:val="Normal"/>
    <w:pPr>
      <w:ind w:left="720" w:hanging="360"/>
      <w:contextualSpacing/>
    </w:pPr>
  </w:style>
  <w:style w:type="paragraph" w:styleId="ListContinue">
    <w:name w:val="List Continue"/>
    <w:basedOn w:val="Normal"/>
    <w:pPr>
      <w:spacing w:after="120"/>
      <w:ind w:left="360"/>
      <w:contextualSpacing/>
    </w:p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HTMLAddress">
    <w:name w:val="HTML Address"/>
    <w:basedOn w:val="Normal"/>
    <w:link w:val="HTMLAddressChar"/>
    <w:rPr>
      <w:rFonts w:cs="Simplified Arabic"/>
      <w:i/>
      <w:iCs/>
    </w:rPr>
  </w:style>
  <w:style w:type="character" w:customStyle="1" w:styleId="HTMLAddressChar">
    <w:name w:val="HTML Address Char"/>
    <w:link w:val="HTMLAddress"/>
    <w:rPr>
      <w:i/>
      <w:iCs/>
      <w:sz w:val="24"/>
      <w:szCs w:val="24"/>
      <w:lang w:bidi="ar-AE"/>
    </w:rPr>
  </w:style>
  <w:style w:type="paragraph" w:styleId="Index4">
    <w:name w:val="index 4"/>
    <w:basedOn w:val="Normal"/>
    <w:next w:val="Normal"/>
    <w:pPr>
      <w:ind w:left="960" w:hanging="240"/>
    </w:pPr>
  </w:style>
  <w:style w:type="paragraph" w:styleId="TOC5">
    <w:name w:val="toc 5"/>
    <w:basedOn w:val="Normal"/>
    <w:next w:val="Normal"/>
    <w:pPr>
      <w:ind w:left="960"/>
    </w:pPr>
  </w:style>
  <w:style w:type="paragraph" w:styleId="TOC3">
    <w:name w:val="toc 3"/>
    <w:basedOn w:val="Normal"/>
    <w:next w:val="Normal"/>
    <w:pPr>
      <w:ind w:left="480"/>
    </w:pPr>
  </w:style>
  <w:style w:type="paragraph" w:styleId="PlainText">
    <w:name w:val="Plain Text"/>
    <w:basedOn w:val="Normal"/>
    <w:link w:val="PlainTextChar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link w:val="PlainText"/>
    <w:rPr>
      <w:rFonts w:ascii="Courier New" w:hAnsi="Courier New" w:cs="Courier New"/>
      <w:lang w:bidi="ar-AE"/>
    </w:rPr>
  </w:style>
  <w:style w:type="paragraph" w:styleId="TOC8">
    <w:name w:val="toc 8"/>
    <w:basedOn w:val="Normal"/>
    <w:next w:val="Normal"/>
    <w:pPr>
      <w:ind w:left="1680"/>
    </w:pPr>
  </w:style>
  <w:style w:type="paragraph" w:styleId="Index3">
    <w:name w:val="index 3"/>
    <w:basedOn w:val="Normal"/>
    <w:next w:val="Normal"/>
    <w:pPr>
      <w:ind w:left="720" w:hanging="240"/>
    </w:pPr>
  </w:style>
  <w:style w:type="paragraph" w:styleId="Date">
    <w:name w:val="Date"/>
    <w:basedOn w:val="Normal"/>
    <w:next w:val="Normal"/>
    <w:link w:val="DateChar"/>
    <w:rPr>
      <w:rFonts w:cs="Simplified Arabic"/>
    </w:rPr>
  </w:style>
  <w:style w:type="character" w:customStyle="1" w:styleId="DateChar">
    <w:name w:val="Date Char"/>
    <w:link w:val="Date"/>
    <w:rPr>
      <w:sz w:val="24"/>
      <w:szCs w:val="24"/>
      <w:lang w:bidi="ar-AE"/>
    </w:rPr>
  </w:style>
  <w:style w:type="paragraph" w:styleId="BodyTextIndent2">
    <w:name w:val="Body Text Indent 2"/>
    <w:basedOn w:val="Normal"/>
    <w:link w:val="BodyTextIndent2Char"/>
    <w:pPr>
      <w:spacing w:after="120"/>
      <w:ind w:left="360"/>
    </w:pPr>
    <w:rPr>
      <w:rFonts w:cs="Simplified Arabic"/>
    </w:rPr>
  </w:style>
  <w:style w:type="character" w:customStyle="1" w:styleId="BodyTextIndent2Char">
    <w:name w:val="Body Text Indent 2 Char"/>
    <w:link w:val="BodyTextIndent2"/>
    <w:rPr>
      <w:sz w:val="24"/>
      <w:szCs w:val="24"/>
      <w:lang w:bidi="ar-AE"/>
    </w:rPr>
  </w:style>
  <w:style w:type="paragraph" w:styleId="EndnoteText">
    <w:name w:val="endnote text"/>
    <w:basedOn w:val="Normal"/>
    <w:next w:val="Normal"/>
    <w:link w:val="EndnoteTextChar"/>
    <w:pPr>
      <w:spacing w:after="120"/>
      <w:ind w:left="340" w:hanging="340"/>
    </w:pPr>
    <w:rPr>
      <w:rFonts w:cs="Simplified Arabic"/>
      <w:sz w:val="20"/>
      <w:szCs w:val="20"/>
    </w:rPr>
  </w:style>
  <w:style w:type="character" w:customStyle="1" w:styleId="EndnoteTextChar">
    <w:name w:val="Endnote Text Char"/>
    <w:link w:val="EndnoteText"/>
    <w:rPr>
      <w:lang w:bidi="ar-AE"/>
    </w:rPr>
  </w:style>
  <w:style w:type="paragraph" w:styleId="ListContinue5">
    <w:name w:val="List Continue 5"/>
    <w:basedOn w:val="Normal"/>
    <w:pPr>
      <w:spacing w:after="120"/>
      <w:ind w:left="1800"/>
      <w:contextualSpacing/>
    </w:pPr>
  </w:style>
  <w:style w:type="paragraph" w:styleId="BalloonText">
    <w:name w:val="Balloon Text"/>
    <w:basedOn w:val="Normal"/>
    <w:link w:val="BalloonTextChar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Pr>
      <w:rFonts w:ascii="Tahoma" w:hAnsi="Tahoma" w:cs="Tahoma"/>
      <w:sz w:val="16"/>
      <w:szCs w:val="16"/>
      <w:lang w:bidi="ar-AE"/>
    </w:rPr>
  </w:style>
  <w:style w:type="paragraph" w:styleId="Footer">
    <w:name w:val="footer"/>
    <w:link w:val="FooterChar"/>
    <w:rPr>
      <w:sz w:val="16"/>
      <w:szCs w:val="16"/>
      <w:lang w:val="en-GB" w:bidi="he-IL"/>
    </w:rPr>
  </w:style>
  <w:style w:type="character" w:customStyle="1" w:styleId="FooterChar">
    <w:name w:val="Footer Char"/>
    <w:link w:val="Footer"/>
    <w:rPr>
      <w:sz w:val="16"/>
      <w:szCs w:val="16"/>
      <w:lang w:val="en-GB" w:eastAsia="zh-CN" w:bidi="he-IL"/>
    </w:rPr>
  </w:style>
  <w:style w:type="paragraph" w:styleId="EnvelopeReturn">
    <w:name w:val="envelope return"/>
    <w:basedOn w:val="Normal"/>
    <w:rPr>
      <w:rFonts w:cs="Simplified Arabic"/>
      <w:sz w:val="20"/>
      <w:szCs w:val="20"/>
    </w:rPr>
  </w:style>
  <w:style w:type="paragraph" w:styleId="Header">
    <w:name w:val="header"/>
    <w:link w:val="HeaderChar"/>
    <w:uiPriority w:val="99"/>
    <w:pPr>
      <w:jc w:val="both"/>
    </w:pPr>
    <w:rPr>
      <w:sz w:val="24"/>
      <w:szCs w:val="24"/>
      <w:lang w:val="en-GB" w:bidi="he-IL"/>
    </w:rPr>
  </w:style>
  <w:style w:type="character" w:customStyle="1" w:styleId="HeaderChar">
    <w:name w:val="Header Char"/>
    <w:link w:val="Header"/>
    <w:uiPriority w:val="99"/>
    <w:rPr>
      <w:sz w:val="24"/>
      <w:szCs w:val="24"/>
      <w:lang w:val="en-GB" w:eastAsia="zh-CN" w:bidi="he-IL"/>
    </w:rPr>
  </w:style>
  <w:style w:type="paragraph" w:styleId="Signature">
    <w:name w:val="Signature"/>
    <w:basedOn w:val="Normal"/>
    <w:link w:val="SignatureChar"/>
    <w:pPr>
      <w:ind w:left="4320"/>
    </w:pPr>
    <w:rPr>
      <w:rFonts w:cs="Simplified Arabic"/>
    </w:rPr>
  </w:style>
  <w:style w:type="character" w:customStyle="1" w:styleId="SignatureChar">
    <w:name w:val="Signature Char"/>
    <w:link w:val="Signature"/>
    <w:rPr>
      <w:sz w:val="24"/>
      <w:szCs w:val="24"/>
      <w:lang w:bidi="ar-AE"/>
    </w:rPr>
  </w:style>
  <w:style w:type="paragraph" w:styleId="TOC1">
    <w:name w:val="toc 1"/>
    <w:basedOn w:val="Normal"/>
    <w:next w:val="BodyText"/>
    <w:pPr>
      <w:tabs>
        <w:tab w:val="right" w:leader="dot" w:pos="9016"/>
      </w:tabs>
      <w:adjustRightInd w:val="0"/>
      <w:snapToGrid w:val="0"/>
      <w:spacing w:before="100" w:after="100"/>
      <w:ind w:left="510" w:hanging="510"/>
    </w:pPr>
    <w:rPr>
      <w:snapToGrid w:val="0"/>
      <w:lang w:bidi="he-IL"/>
    </w:rPr>
  </w:style>
  <w:style w:type="paragraph" w:styleId="ListContinue4">
    <w:name w:val="List Continue 4"/>
    <w:basedOn w:val="Normal"/>
    <w:pPr>
      <w:spacing w:after="120"/>
      <w:ind w:left="1440"/>
      <w:contextualSpacing/>
    </w:pPr>
  </w:style>
  <w:style w:type="paragraph" w:styleId="TOC4">
    <w:name w:val="toc 4"/>
    <w:basedOn w:val="Normal"/>
    <w:next w:val="Normal"/>
    <w:pPr>
      <w:ind w:left="720"/>
    </w:pPr>
  </w:style>
  <w:style w:type="paragraph" w:styleId="IndexHeading">
    <w:name w:val="index heading"/>
    <w:basedOn w:val="Normal"/>
    <w:next w:val="Normal"/>
    <w:rPr>
      <w:b/>
      <w:bCs/>
    </w:rPr>
  </w:style>
  <w:style w:type="paragraph" w:styleId="Subtitle">
    <w:name w:val="Subtitle"/>
    <w:basedOn w:val="Normal"/>
    <w:next w:val="BodyText"/>
    <w:link w:val="SubtitleChar"/>
    <w:qFormat/>
    <w:pPr>
      <w:jc w:val="center"/>
    </w:pPr>
    <w:rPr>
      <w:rFonts w:cs="Simplified Arabic"/>
    </w:rPr>
  </w:style>
  <w:style w:type="character" w:customStyle="1" w:styleId="SubtitleChar">
    <w:name w:val="Subtitle Char"/>
    <w:link w:val="Subtitle"/>
    <w:rPr>
      <w:sz w:val="24"/>
      <w:szCs w:val="24"/>
      <w:lang w:bidi="ar-AE"/>
    </w:rPr>
  </w:style>
  <w:style w:type="paragraph" w:styleId="List">
    <w:name w:val="List"/>
    <w:basedOn w:val="Normal"/>
    <w:pPr>
      <w:ind w:left="360" w:hanging="360"/>
      <w:contextualSpacing/>
    </w:pPr>
  </w:style>
  <w:style w:type="paragraph" w:styleId="FootnoteText">
    <w:name w:val="footnote text"/>
    <w:basedOn w:val="Normal"/>
    <w:next w:val="Normal"/>
    <w:link w:val="FootnoteTextChar"/>
    <w:pPr>
      <w:spacing w:after="120"/>
      <w:ind w:left="340" w:hanging="340"/>
    </w:pPr>
    <w:rPr>
      <w:rFonts w:cs="Simplified Arabic"/>
      <w:sz w:val="20"/>
      <w:szCs w:val="20"/>
    </w:rPr>
  </w:style>
  <w:style w:type="character" w:customStyle="1" w:styleId="FootnoteTextChar">
    <w:name w:val="Footnote Text Char"/>
    <w:link w:val="FootnoteText"/>
    <w:rPr>
      <w:lang w:bidi="ar-AE"/>
    </w:rPr>
  </w:style>
  <w:style w:type="paragraph" w:styleId="TOC6">
    <w:name w:val="toc 6"/>
    <w:basedOn w:val="Normal"/>
    <w:next w:val="Normal"/>
    <w:pPr>
      <w:ind w:left="1200"/>
    </w:pPr>
  </w:style>
  <w:style w:type="paragraph" w:styleId="List5">
    <w:name w:val="List 5"/>
    <w:basedOn w:val="Normal"/>
    <w:pPr>
      <w:ind w:left="1800" w:hanging="360"/>
      <w:contextualSpacing/>
    </w:pPr>
  </w:style>
  <w:style w:type="paragraph" w:styleId="BodyTextIndent3">
    <w:name w:val="Body Text Indent 3"/>
    <w:basedOn w:val="Normal"/>
    <w:link w:val="BodyTextIndent3Char"/>
    <w:pPr>
      <w:spacing w:after="120"/>
      <w:ind w:left="360"/>
    </w:pPr>
    <w:rPr>
      <w:rFonts w:cs="Simplified Arabic"/>
      <w:sz w:val="16"/>
      <w:szCs w:val="16"/>
    </w:rPr>
  </w:style>
  <w:style w:type="character" w:customStyle="1" w:styleId="BodyTextIndent3Char">
    <w:name w:val="Body Text Indent 3 Char"/>
    <w:link w:val="BodyTextIndent3"/>
    <w:rPr>
      <w:sz w:val="16"/>
      <w:szCs w:val="16"/>
      <w:lang w:bidi="ar-AE"/>
    </w:rPr>
  </w:style>
  <w:style w:type="paragraph" w:styleId="Index7">
    <w:name w:val="index 7"/>
    <w:basedOn w:val="Normal"/>
    <w:next w:val="Normal"/>
    <w:pPr>
      <w:ind w:left="1680" w:hanging="240"/>
    </w:pPr>
  </w:style>
  <w:style w:type="paragraph" w:styleId="Index9">
    <w:name w:val="index 9"/>
    <w:basedOn w:val="Normal"/>
    <w:next w:val="Normal"/>
    <w:pPr>
      <w:ind w:left="2160" w:hanging="240"/>
    </w:pPr>
  </w:style>
  <w:style w:type="paragraph" w:styleId="TableofFigures">
    <w:name w:val="table of figures"/>
    <w:basedOn w:val="Normal"/>
    <w:next w:val="Normal"/>
  </w:style>
  <w:style w:type="paragraph" w:styleId="TOC2">
    <w:name w:val="toc 2"/>
    <w:basedOn w:val="Normal"/>
    <w:next w:val="BodyText"/>
    <w:pPr>
      <w:tabs>
        <w:tab w:val="right" w:leader="dot" w:pos="9015"/>
      </w:tabs>
      <w:adjustRightInd w:val="0"/>
      <w:snapToGrid w:val="0"/>
      <w:spacing w:before="100" w:after="100"/>
      <w:ind w:left="1230" w:hanging="720"/>
    </w:pPr>
    <w:rPr>
      <w:snapToGrid w:val="0"/>
      <w:lang w:bidi="he-IL"/>
    </w:rPr>
  </w:style>
  <w:style w:type="paragraph" w:styleId="TOC9">
    <w:name w:val="toc 9"/>
    <w:basedOn w:val="Normal"/>
    <w:next w:val="Normal"/>
    <w:pPr>
      <w:ind w:left="1920"/>
    </w:pPr>
  </w:style>
  <w:style w:type="paragraph" w:styleId="BodyText2">
    <w:name w:val="Body Text 2"/>
    <w:basedOn w:val="Normal"/>
    <w:link w:val="BodyText2Char"/>
    <w:pPr>
      <w:ind w:left="1440"/>
    </w:pPr>
    <w:rPr>
      <w:rFonts w:cs="Simplified Arabic"/>
      <w:lang w:eastAsia="en-GB"/>
    </w:rPr>
  </w:style>
  <w:style w:type="character" w:customStyle="1" w:styleId="BodyText2Char">
    <w:name w:val="Body Text 2 Char"/>
    <w:link w:val="BodyText2"/>
    <w:rPr>
      <w:sz w:val="24"/>
      <w:szCs w:val="24"/>
      <w:lang w:eastAsia="en-GB" w:bidi="ar-AE"/>
    </w:rPr>
  </w:style>
  <w:style w:type="paragraph" w:styleId="List4">
    <w:name w:val="List 4"/>
    <w:basedOn w:val="Normal"/>
    <w:pPr>
      <w:ind w:left="1440" w:hanging="360"/>
      <w:contextualSpacing/>
    </w:pPr>
  </w:style>
  <w:style w:type="paragraph" w:styleId="ListContinue2">
    <w:name w:val="List Continue 2"/>
    <w:basedOn w:val="Normal"/>
    <w:pPr>
      <w:spacing w:after="120"/>
      <w:ind w:left="720"/>
      <w:contextualSpacing/>
    </w:pPr>
  </w:style>
  <w:style w:type="paragraph" w:styleId="MessageHeader">
    <w:name w:val="Message Header"/>
    <w:basedOn w:val="Normal"/>
    <w:link w:val="MessageHeaderChar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cs="Simplified Arabic"/>
    </w:rPr>
  </w:style>
  <w:style w:type="character" w:customStyle="1" w:styleId="MessageHeaderChar">
    <w:name w:val="Message Header Char"/>
    <w:link w:val="MessageHeader"/>
    <w:rPr>
      <w:rFonts w:ascii="Times New Roman" w:eastAsia="SimSun" w:hAnsi="Times New Roman" w:cs="Simplified Arabic"/>
      <w:sz w:val="24"/>
      <w:szCs w:val="24"/>
      <w:shd w:val="pct20" w:color="auto" w:fill="auto"/>
      <w:lang w:bidi="ar-AE"/>
    </w:rPr>
  </w:style>
  <w:style w:type="paragraph" w:styleId="HTMLPreformatted">
    <w:name w:val="HTML Preformatted"/>
    <w:basedOn w:val="Normal"/>
    <w:link w:val="HTMLPreformattedChar"/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rPr>
      <w:rFonts w:ascii="Courier New" w:hAnsi="Courier New" w:cs="Courier New"/>
      <w:lang w:bidi="ar-AE"/>
    </w:rPr>
  </w:style>
  <w:style w:type="paragraph" w:styleId="NormalWeb">
    <w:name w:val="Normal (Web)"/>
    <w:basedOn w:val="Normal"/>
  </w:style>
  <w:style w:type="paragraph" w:styleId="ListContinue3">
    <w:name w:val="List Continue 3"/>
    <w:basedOn w:val="Normal"/>
    <w:pPr>
      <w:spacing w:after="120"/>
      <w:ind w:left="1080"/>
      <w:contextualSpacing/>
    </w:pPr>
  </w:style>
  <w:style w:type="paragraph" w:styleId="Index1">
    <w:name w:val="index 1"/>
    <w:basedOn w:val="Normal"/>
    <w:next w:val="Normal"/>
    <w:pPr>
      <w:ind w:left="240" w:hanging="240"/>
    </w:pPr>
  </w:style>
  <w:style w:type="paragraph" w:styleId="Index2">
    <w:name w:val="index 2"/>
    <w:basedOn w:val="Normal"/>
    <w:next w:val="Normal"/>
    <w:pPr>
      <w:ind w:left="480" w:hanging="240"/>
    </w:pPr>
  </w:style>
  <w:style w:type="paragraph" w:styleId="Title">
    <w:name w:val="Title"/>
    <w:basedOn w:val="Normal"/>
    <w:next w:val="BodyText"/>
    <w:link w:val="TitleChar"/>
    <w:qFormat/>
    <w:pPr>
      <w:jc w:val="center"/>
    </w:pPr>
    <w:rPr>
      <w:rFonts w:cs="Simplified Arabic"/>
      <w:b/>
      <w:bCs/>
    </w:rPr>
  </w:style>
  <w:style w:type="character" w:customStyle="1" w:styleId="TitleChar">
    <w:name w:val="Title Char"/>
    <w:link w:val="Title"/>
    <w:rPr>
      <w:b/>
      <w:bCs/>
      <w:sz w:val="24"/>
      <w:szCs w:val="24"/>
      <w:lang w:bidi="ar-AE"/>
    </w:rPr>
  </w:style>
  <w:style w:type="paragraph" w:styleId="CommentSubject">
    <w:name w:val="annotation subject"/>
    <w:basedOn w:val="CommentText"/>
    <w:next w:val="CommentText"/>
    <w:link w:val="CommentSubjectChar"/>
    <w:pPr>
      <w:spacing w:after="240"/>
    </w:pPr>
    <w:rPr>
      <w:b/>
      <w:bCs/>
    </w:rPr>
  </w:style>
  <w:style w:type="character" w:customStyle="1" w:styleId="CommentSubjectChar">
    <w:name w:val="Comment Subject Char"/>
    <w:link w:val="CommentSubject"/>
    <w:rPr>
      <w:b/>
      <w:bCs/>
      <w:lang w:bidi="ar-AE"/>
    </w:rPr>
  </w:style>
  <w:style w:type="paragraph" w:styleId="BodyTextFirstIndent">
    <w:name w:val="Body Text First Indent"/>
    <w:basedOn w:val="BodyText"/>
    <w:link w:val="BodyTextFirstIndentChar"/>
    <w:pPr>
      <w:ind w:firstLine="720"/>
    </w:pPr>
  </w:style>
  <w:style w:type="character" w:customStyle="1" w:styleId="BodyTextFirstIndentChar">
    <w:name w:val="Body Text First Indent Char"/>
    <w:link w:val="BodyTextFirstIndent"/>
    <w:rPr>
      <w:sz w:val="24"/>
      <w:szCs w:val="24"/>
      <w:lang w:eastAsia="en-GB" w:bidi="ar-AE"/>
    </w:rPr>
  </w:style>
  <w:style w:type="paragraph" w:styleId="BodyTextFirstIndent2">
    <w:name w:val="Body Text First Indent 2"/>
    <w:basedOn w:val="BodyTextFirstIndent"/>
    <w:link w:val="BodyTextFirstIndent2Char"/>
    <w:pPr>
      <w:ind w:firstLine="1440"/>
    </w:pPr>
  </w:style>
  <w:style w:type="character" w:customStyle="1" w:styleId="BodyTextFirstIndent2Char">
    <w:name w:val="Body Text First Indent 2 Char"/>
    <w:link w:val="BodyTextFirstIndent2"/>
    <w:rPr>
      <w:sz w:val="24"/>
      <w:szCs w:val="24"/>
      <w:lang w:eastAsia="en-GB" w:bidi="ar-AE"/>
    </w:rPr>
  </w:style>
  <w:style w:type="table" w:styleId="TableGrid">
    <w:name w:val="Table Grid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Theme">
    <w:name w:val="Table Theme"/>
    <w:basedOn w:val="TableNormal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Colorful1">
    <w:name w:val="Table Colorful 1"/>
    <w:basedOn w:val="TableNormal"/>
    <w:pPr>
      <w:spacing w:after="24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Colorful2">
    <w:name w:val="Table Colorful 2"/>
    <w:basedOn w:val="TableNormal"/>
    <w:pPr>
      <w:spacing w:after="24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Colorful3">
    <w:name w:val="Table Colorful 3"/>
    <w:basedOn w:val="TableNormal"/>
    <w:pPr>
      <w:spacing w:after="24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top w:val="nil"/>
          <w:left w:val="single" w:sz="36" w:space="0" w:color="000000"/>
          <w:bottom w:val="nil"/>
          <w:right w:val="single" w:sz="6" w:space="0" w:color="000000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TableElegant">
    <w:name w:val="Table Elegant"/>
    <w:basedOn w:val="TableNormal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Classic1">
    <w:name w:val="Table Classic 1"/>
    <w:basedOn w:val="TableNormal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6" w:space="0" w:color="000000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Classic2">
    <w:name w:val="Table Classic 2"/>
    <w:basedOn w:val="TableNormal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Classic3">
    <w:name w:val="Table Classic 3"/>
    <w:basedOn w:val="TableNormal"/>
    <w:pPr>
      <w:spacing w:after="24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Classic4">
    <w:name w:val="Table Classic 4"/>
    <w:basedOn w:val="TableNormal"/>
    <w:pPr>
      <w:spacing w:after="24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Simple1">
    <w:name w:val="Table Simple 1"/>
    <w:basedOn w:val="TableNormal"/>
    <w:pPr>
      <w:spacing w:after="24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top w:val="nil"/>
          <w:left w:val="nil"/>
          <w:bottom w:val="single" w:sz="6" w:space="0" w:color="008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Simple2">
    <w:name w:val="Table Simple 2"/>
    <w:basedOn w:val="TableNormal"/>
    <w:pPr>
      <w:spacing w:after="240"/>
      <w:jc w:val="both"/>
    </w:pPr>
    <w:tblPr/>
    <w:tblStylePr w:type="firstRow">
      <w:rPr>
        <w:b/>
        <w:bCs/>
      </w:rPr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sz="12" w:space="0" w:color="000000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Simple3">
    <w:name w:val="Table Simple 3"/>
    <w:basedOn w:val="TableNormal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TableSubtle1">
    <w:name w:val="Table Subtle 1"/>
    <w:basedOn w:val="TableNormal"/>
    <w:pPr>
      <w:spacing w:after="24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12" w:space="0" w:color="00000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Subtle2">
    <w:name w:val="Table Subtle 2"/>
    <w:basedOn w:val="TableNormal"/>
    <w:pPr>
      <w:spacing w:after="24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12" w:space="0" w:color="000000"/>
          <w:insideH w:val="nil"/>
          <w:insideV w:val="nil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3Deffects1">
    <w:name w:val="Table 3D effects 1"/>
    <w:basedOn w:val="TableNormal"/>
    <w:pPr>
      <w:spacing w:after="24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top w:val="nil"/>
          <w:left w:val="nil"/>
          <w:bottom w:val="single" w:sz="6" w:space="0" w:color="808080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sz="6" w:space="0" w:color="80808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single" w:sz="6" w:space="0" w:color="FFFFFF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3Deffects2">
    <w:name w:val="Table 3D effects 2"/>
    <w:basedOn w:val="TableNormal"/>
    <w:pPr>
      <w:spacing w:after="24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6" w:space="0" w:color="80808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sz="6" w:space="0" w:color="FFFFFF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6" w:space="0" w:color="808080"/>
          <w:left w:val="nil"/>
          <w:bottom w:val="single" w:sz="6" w:space="0" w:color="FFFFFF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3Deffects3">
    <w:name w:val="Table 3D effects 3"/>
    <w:basedOn w:val="TableNormal"/>
    <w:pPr>
      <w:spacing w:after="24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6" w:space="0" w:color="80808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sz="6" w:space="0" w:color="FFFFFF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left w:val="nil"/>
          <w:bottom w:val="single" w:sz="6" w:space="0" w:color="FFFFFF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List1">
    <w:name w:val="Table List 1"/>
    <w:basedOn w:val="TableNormal"/>
    <w:pPr>
      <w:spacing w:after="24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List2">
    <w:name w:val="Table List 2"/>
    <w:basedOn w:val="TableNormal"/>
    <w:pPr>
      <w:spacing w:after="24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List3">
    <w:name w:val="Table List 3"/>
    <w:basedOn w:val="TableNormal"/>
    <w:pPr>
      <w:spacing w:after="24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List4">
    <w:name w:val="Table List 4"/>
    <w:basedOn w:val="TableNormal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  <w:shd w:val="solid" w:color="808080" w:fill="FFFFFF"/>
      </w:tcPr>
    </w:tblStylePr>
  </w:style>
  <w:style w:type="table" w:styleId="TableList5">
    <w:name w:val="Table List 5"/>
    <w:basedOn w:val="TableNormal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List6">
    <w:name w:val="Table List 6"/>
    <w:basedOn w:val="TableNormal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sz="12" w:space="0" w:color="00000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000000"/>
          <w:tr2bl w:val="nil"/>
        </w:tcBorders>
      </w:tcPr>
    </w:tblStylePr>
  </w:style>
  <w:style w:type="table" w:styleId="TableList7">
    <w:name w:val="Table List 7"/>
    <w:basedOn w:val="TableNormal"/>
    <w:pPr>
      <w:spacing w:after="24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top w:val="nil"/>
          <w:left w:val="nil"/>
          <w:bottom w:val="single" w:sz="12" w:space="0" w:color="008000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</w:style>
  <w:style w:type="table" w:styleId="TableList8">
    <w:name w:val="Table List 8"/>
    <w:basedOn w:val="TableNormal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auto"/>
          <w:tr2bl w:val="nil"/>
        </w:tcBorders>
      </w:tcPr>
    </w:tblStylePr>
  </w:style>
  <w:style w:type="table" w:styleId="TableContemporary">
    <w:name w:val="Table Contemporary"/>
    <w:basedOn w:val="TableNormal"/>
    <w:pPr>
      <w:spacing w:after="24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</w:style>
  <w:style w:type="table" w:styleId="TableColumns1">
    <w:name w:val="Table Columns 1"/>
    <w:basedOn w:val="TableNormal"/>
    <w:pPr>
      <w:spacing w:after="24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top w:val="nil"/>
          <w:left w:val="nil"/>
          <w:bottom w:val="double" w:sz="6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Columns2">
    <w:name w:val="Table Columns 2"/>
    <w:basedOn w:val="TableNormal"/>
    <w:pPr>
      <w:spacing w:after="24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Columns3">
    <w:name w:val="Table Columns 3"/>
    <w:basedOn w:val="TableNormal"/>
    <w:pPr>
      <w:spacing w:after="24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Columns4">
    <w:name w:val="Table Columns 4"/>
    <w:basedOn w:val="TableNormal"/>
    <w:pPr>
      <w:spacing w:after="24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pPr>
      <w:spacing w:after="24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top w:val="nil"/>
          <w:left w:val="nil"/>
          <w:bottom w:val="single" w:sz="6" w:space="0" w:color="80808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000000"/>
          <w:tr2bl w:val="nil"/>
        </w:tcBorders>
      </w:tcPr>
    </w:tblStylePr>
  </w:style>
  <w:style w:type="table" w:styleId="TableGrid2">
    <w:name w:val="Table Grid 2"/>
    <w:basedOn w:val="TableNormal"/>
    <w:pPr>
      <w:spacing w:after="24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Grid3">
    <w:name w:val="Table Grid 3"/>
    <w:basedOn w:val="TableNormal"/>
    <w:pPr>
      <w:spacing w:after="24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000000"/>
          <w:tr2bl w:val="nil"/>
        </w:tcBorders>
      </w:tcPr>
    </w:tblStylePr>
  </w:style>
  <w:style w:type="table" w:styleId="TableGrid4">
    <w:name w:val="Table Grid 4"/>
    <w:basedOn w:val="TableNormal"/>
    <w:pPr>
      <w:spacing w:after="24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Grid5">
    <w:name w:val="Table Grid 5"/>
    <w:basedOn w:val="TableNormal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000000"/>
          <w:tr2bl w:val="nil"/>
        </w:tcBorders>
      </w:tcPr>
    </w:tblStylePr>
  </w:style>
  <w:style w:type="table" w:styleId="TableGrid6">
    <w:name w:val="Table Grid 6"/>
    <w:basedOn w:val="TableNormal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000000"/>
          <w:tr2bl w:val="nil"/>
        </w:tcBorders>
      </w:tcPr>
    </w:tblStylePr>
  </w:style>
  <w:style w:type="table" w:styleId="TableGrid7">
    <w:name w:val="Table Grid 7"/>
    <w:basedOn w:val="TableNormal"/>
    <w:pPr>
      <w:spacing w:after="24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000000"/>
          <w:tr2bl w:val="nil"/>
        </w:tcBorders>
      </w:tcPr>
    </w:tblStylePr>
  </w:style>
  <w:style w:type="table" w:styleId="TableGrid8">
    <w:name w:val="Table Grid 8"/>
    <w:basedOn w:val="TableNormal"/>
    <w:pPr>
      <w:spacing w:after="24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Web1">
    <w:name w:val="Table Web 1"/>
    <w:basedOn w:val="TableNormal"/>
    <w:pPr>
      <w:spacing w:after="240"/>
      <w:jc w:val="both"/>
    </w:pPr>
    <w:tblPr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Web2">
    <w:name w:val="Table Web 2"/>
    <w:basedOn w:val="TableNormal"/>
    <w:pPr>
      <w:spacing w:after="240"/>
      <w:jc w:val="both"/>
    </w:pPr>
    <w:tblPr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Web3">
    <w:name w:val="Table Web 3"/>
    <w:basedOn w:val="TableNormal"/>
    <w:pPr>
      <w:spacing w:after="240"/>
      <w:jc w:val="both"/>
    </w:pPr>
    <w:tblPr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Professional">
    <w:name w:val="Table Professional"/>
    <w:basedOn w:val="TableNormal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LightShading-Accent2">
    <w:name w:val="Light Shading Accent 2"/>
    <w:basedOn w:val="TableNormal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ghtShading-Accent3">
    <w:name w:val="Light Shading Accent 3"/>
    <w:basedOn w:val="TableNormal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ghtShading-Accent4">
    <w:name w:val="Light Shading Accent 4"/>
    <w:basedOn w:val="TableNormal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ghtShading-Accent5">
    <w:name w:val="Light Shading Accent 5"/>
    <w:basedOn w:val="TableNormal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ghtShading-Accent6">
    <w:name w:val="Light Shading Accent 6"/>
    <w:basedOn w:val="TableNormal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ghtList-Accent2">
    <w:name w:val="Light List Accent 2"/>
    <w:basedOn w:val="TableNormal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nil"/>
          <w:tl2br w:val="nil"/>
          <w:tr2bl w:val="nil"/>
        </w:tcBorders>
      </w:tcPr>
    </w:tblStylePr>
  </w:style>
  <w:style w:type="table" w:styleId="LightList-Accent3">
    <w:name w:val="Light List Accent 3"/>
    <w:basedOn w:val="TableNormal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nil"/>
          <w:tl2br w:val="nil"/>
          <w:tr2bl w:val="nil"/>
        </w:tcBorders>
      </w:tcPr>
    </w:tblStylePr>
  </w:style>
  <w:style w:type="table" w:styleId="LightList-Accent4">
    <w:name w:val="Light List Accent 4"/>
    <w:basedOn w:val="TableNormal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nil"/>
          <w:tl2br w:val="nil"/>
          <w:tr2bl w:val="nil"/>
        </w:tcBorders>
      </w:tcPr>
    </w:tblStylePr>
  </w:style>
  <w:style w:type="table" w:styleId="LightList-Accent5">
    <w:name w:val="Light List Accent 5"/>
    <w:basedOn w:val="TableNormal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nil"/>
          <w:tl2br w:val="nil"/>
          <w:tr2bl w:val="nil"/>
        </w:tcBorders>
      </w:tcPr>
    </w:tblStylePr>
  </w:style>
  <w:style w:type="table" w:styleId="LightList-Accent6">
    <w:name w:val="Light List Accent 6"/>
    <w:basedOn w:val="TableNormal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nil"/>
          <w:tl2br w:val="nil"/>
          <w:tr2bl w:val="nil"/>
        </w:tcBorders>
      </w:tcPr>
    </w:tblStylePr>
  </w:style>
  <w:style w:type="table" w:styleId="LightGrid-Accent2">
    <w:name w:val="Light Grid Accent 2"/>
    <w:basedOn w:val="TableNormal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  <w:tl2br w:val="nil"/>
          <w:tr2bl w:val="nil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nil"/>
          <w:tl2br w:val="nil"/>
          <w:tr2bl w:val="nil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  <w:tl2br w:val="nil"/>
          <w:tr2bl w:val="nil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  <w:tl2br w:val="nil"/>
          <w:tr2bl w:val="nil"/>
        </w:tcBorders>
      </w:tcPr>
    </w:tblStylePr>
  </w:style>
  <w:style w:type="table" w:styleId="LightGrid-Accent3">
    <w:name w:val="Light Grid Accent 3"/>
    <w:basedOn w:val="TableNormal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  <w:tl2br w:val="nil"/>
          <w:tr2bl w:val="nil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nil"/>
          <w:tl2br w:val="nil"/>
          <w:tr2bl w:val="nil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  <w:tl2br w:val="nil"/>
          <w:tr2bl w:val="nil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  <w:tl2br w:val="nil"/>
          <w:tr2bl w:val="nil"/>
        </w:tcBorders>
      </w:tcPr>
    </w:tblStylePr>
  </w:style>
  <w:style w:type="table" w:styleId="LightGrid-Accent4">
    <w:name w:val="Light Grid Accent 4"/>
    <w:basedOn w:val="TableNormal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  <w:tl2br w:val="nil"/>
          <w:tr2bl w:val="nil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nil"/>
          <w:tl2br w:val="nil"/>
          <w:tr2bl w:val="nil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  <w:tl2br w:val="nil"/>
          <w:tr2bl w:val="nil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  <w:tl2br w:val="nil"/>
          <w:tr2bl w:val="nil"/>
        </w:tcBorders>
      </w:tcPr>
    </w:tblStylePr>
  </w:style>
  <w:style w:type="table" w:styleId="LightGrid-Accent5">
    <w:name w:val="Light Grid Accent 5"/>
    <w:basedOn w:val="TableNormal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  <w:tl2br w:val="nil"/>
          <w:tr2bl w:val="nil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nil"/>
          <w:tl2br w:val="nil"/>
          <w:tr2bl w:val="nil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  <w:tl2br w:val="nil"/>
          <w:tr2bl w:val="nil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  <w:tl2br w:val="nil"/>
          <w:tr2bl w:val="nil"/>
        </w:tcBorders>
      </w:tcPr>
    </w:tblStylePr>
  </w:style>
  <w:style w:type="table" w:styleId="LightGrid-Accent6">
    <w:name w:val="Light Grid Accent 6"/>
    <w:basedOn w:val="TableNormal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  <w:tl2br w:val="nil"/>
          <w:tr2bl w:val="nil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nil"/>
          <w:tl2br w:val="nil"/>
          <w:tr2bl w:val="nil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  <w:tl2br w:val="nil"/>
          <w:tr2bl w:val="nil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  <w:tl2br w:val="nil"/>
          <w:tr2bl w:val="nil"/>
        </w:tcBorders>
      </w:tcPr>
    </w:tblStylePr>
  </w:style>
  <w:style w:type="table" w:styleId="MediumShading1-Accent2">
    <w:name w:val="Medium Shading 1 Accent 2"/>
    <w:basedOn w:val="TableNormal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  <w:tl2br w:val="nil"/>
          <w:tr2bl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Shading1-Accent3">
    <w:name w:val="Medium Shading 1 Accent 3"/>
    <w:basedOn w:val="TableNormal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  <w:tl2br w:val="nil"/>
          <w:tr2bl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Shading1-Accent4">
    <w:name w:val="Medium Shading 1 Accent 4"/>
    <w:basedOn w:val="TableNormal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  <w:tl2br w:val="nil"/>
          <w:tr2bl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Shading1-Accent5">
    <w:name w:val="Medium Shading 1 Accent 5"/>
    <w:basedOn w:val="TableNormal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  <w:tl2br w:val="nil"/>
          <w:tr2bl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Shading1-Accent6">
    <w:name w:val="Medium Shading 1 Accent 6"/>
    <w:basedOn w:val="TableNormal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  <w:tl2br w:val="nil"/>
          <w:tr2bl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Shading2-Accent2">
    <w:name w:val="Medium Shading 2 Accent 2"/>
    <w:basedOn w:val="TableNormal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shd w:val="clear" w:color="auto" w:fill="C0504D"/>
      </w:tcPr>
    </w:tblStylePr>
    <w:tblStylePr w:type="band1Vert">
      <w:tblPr/>
      <w:tcPr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MediumShading2-Accent3">
    <w:name w:val="Medium Shading 2 Accent 3"/>
    <w:basedOn w:val="TableNormal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shd w:val="clear" w:color="auto" w:fill="9BBB59"/>
      </w:tcPr>
    </w:tblStylePr>
    <w:tblStylePr w:type="band1Vert">
      <w:tblPr/>
      <w:tcPr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MediumShading2-Accent4">
    <w:name w:val="Medium Shading 2 Accent 4"/>
    <w:basedOn w:val="TableNormal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shd w:val="clear" w:color="auto" w:fill="8064A2"/>
      </w:tcPr>
    </w:tblStylePr>
    <w:tblStylePr w:type="band1Vert">
      <w:tblPr/>
      <w:tcPr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MediumShading2-Accent5">
    <w:name w:val="Medium Shading 2 Accent 5"/>
    <w:basedOn w:val="TableNormal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shd w:val="clear" w:color="auto" w:fill="4BACC6"/>
      </w:tcPr>
    </w:tblStylePr>
    <w:tblStylePr w:type="band1Vert">
      <w:tblPr/>
      <w:tcPr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MediumShading2-Accent6">
    <w:name w:val="Medium Shading 2 Accent 6"/>
    <w:basedOn w:val="TableNormal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shd w:val="clear" w:color="auto" w:fill="F79646"/>
      </w:tcPr>
    </w:tblStylePr>
    <w:tblStylePr w:type="band1Vert">
      <w:tblPr/>
      <w:tcPr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MediumList1-Accent2">
    <w:name w:val="Medium List 1 Accent 2"/>
    <w:basedOn w:val="TableNormal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Times New Roman" w:eastAsia="Times New Roman" w:hAnsi="Times New Roman" w:cs="Times New Roman"/>
      </w:rPr>
      <w:tblPr/>
      <w:tcPr>
        <w:tcBorders>
          <w:top w:val="nil"/>
          <w:left w:val="nil"/>
          <w:bottom w:val="single" w:sz="8" w:space="0" w:color="C0504D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Times New Roman" w:eastAsia="Times New Roman" w:hAnsi="Times New Roman" w:cs="Times New Roman"/>
      </w:rPr>
      <w:tblPr/>
      <w:tcPr>
        <w:tcBorders>
          <w:top w:val="nil"/>
          <w:left w:val="nil"/>
          <w:bottom w:val="single" w:sz="8" w:space="0" w:color="9BBB59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Times New Roman" w:eastAsia="Times New Roman" w:hAnsi="Times New Roman" w:cs="Times New Roman"/>
      </w:rPr>
      <w:tblPr/>
      <w:tcPr>
        <w:tcBorders>
          <w:top w:val="nil"/>
          <w:left w:val="nil"/>
          <w:bottom w:val="single" w:sz="8" w:space="0" w:color="8064A2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Times New Roman" w:eastAsia="Times New Roman" w:hAnsi="Times New Roman" w:cs="Times New Roman"/>
      </w:rPr>
      <w:tblPr/>
      <w:tcPr>
        <w:tcBorders>
          <w:top w:val="nil"/>
          <w:left w:val="nil"/>
          <w:bottom w:val="single" w:sz="8" w:space="0" w:color="4BACC6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Times New Roman" w:eastAsia="Times New Roman" w:hAnsi="Times New Roman" w:cs="Times New Roman"/>
      </w:rPr>
      <w:tblPr/>
      <w:tcPr>
        <w:tcBorders>
          <w:top w:val="nil"/>
          <w:left w:val="nil"/>
          <w:bottom w:val="single" w:sz="8" w:space="0" w:color="F79646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-Accent1">
    <w:name w:val="Medium List 2 Accent 1"/>
    <w:basedOn w:val="TableNormal"/>
    <w:rPr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  <w:tblStylePr w:type="nwCell">
      <w:tblPr/>
      <w:tcPr>
        <w:shd w:val="clear" w:color="auto" w:fill="FFFFFF"/>
      </w:tcPr>
    </w:tblStylePr>
  </w:style>
  <w:style w:type="table" w:styleId="MediumList2-Accent2">
    <w:name w:val="Medium List 2 Accent 2"/>
    <w:basedOn w:val="TableNormal"/>
    <w:rPr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  <w:tblStylePr w:type="nwCell">
      <w:tblPr/>
      <w:tcPr>
        <w:shd w:val="clear" w:color="auto" w:fill="FFFFFF"/>
      </w:tcPr>
    </w:tblStylePr>
  </w:style>
  <w:style w:type="table" w:styleId="MediumList2-Accent3">
    <w:name w:val="Medium List 2 Accent 3"/>
    <w:basedOn w:val="TableNormal"/>
    <w:rPr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  <w:tblStylePr w:type="nwCell">
      <w:tblPr/>
      <w:tcPr>
        <w:shd w:val="clear" w:color="auto" w:fill="FFFFFF"/>
      </w:tcPr>
    </w:tblStylePr>
  </w:style>
  <w:style w:type="table" w:styleId="MediumList2-Accent4">
    <w:name w:val="Medium List 2 Accent 4"/>
    <w:basedOn w:val="TableNormal"/>
    <w:rPr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  <w:tblStylePr w:type="nwCell">
      <w:tblPr/>
      <w:tcPr>
        <w:shd w:val="clear" w:color="auto" w:fill="FFFFFF"/>
      </w:tcPr>
    </w:tblStylePr>
  </w:style>
  <w:style w:type="table" w:styleId="MediumList2-Accent5">
    <w:name w:val="Medium List 2 Accent 5"/>
    <w:basedOn w:val="TableNormal"/>
    <w:rPr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  <w:tblStylePr w:type="nwCell">
      <w:tblPr/>
      <w:tcPr>
        <w:shd w:val="clear" w:color="auto" w:fill="FFFFFF"/>
      </w:tcPr>
    </w:tblStylePr>
  </w:style>
  <w:style w:type="table" w:styleId="MediumList2-Accent6">
    <w:name w:val="Medium List 2 Accent 6"/>
    <w:basedOn w:val="TableNormal"/>
    <w:rPr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  <w:tblStylePr w:type="nwCell">
      <w:tblPr/>
      <w:tcPr>
        <w:shd w:val="clear" w:color="auto" w:fill="FFFFFF"/>
      </w:tcPr>
    </w:tblStylePr>
  </w:style>
  <w:style w:type="table" w:styleId="MediumGrid1-Accent1">
    <w:name w:val="Medium Grid 1 Accent 1"/>
    <w:basedOn w:val="TableNormal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-Accent1">
    <w:name w:val="Medium Grid 2 Accent 1"/>
    <w:basedOn w:val="TableNormal"/>
    <w:rPr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single" w:sz="6" w:space="0" w:color="4F81BD"/>
          <w:insideV w:val="single" w:sz="6" w:space="0" w:color="4F81BD"/>
          <w:tl2br w:val="nil"/>
          <w:tr2bl w:val="nil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rPr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single" w:sz="6" w:space="0" w:color="C0504D"/>
          <w:insideV w:val="single" w:sz="6" w:space="0" w:color="C0504D"/>
          <w:tl2br w:val="nil"/>
          <w:tr2bl w:val="nil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rPr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single" w:sz="6" w:space="0" w:color="9BBB59"/>
          <w:insideV w:val="single" w:sz="6" w:space="0" w:color="9BBB59"/>
          <w:tl2br w:val="nil"/>
          <w:tr2bl w:val="nil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rPr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single" w:sz="6" w:space="0" w:color="8064A2"/>
          <w:insideV w:val="single" w:sz="6" w:space="0" w:color="8064A2"/>
          <w:tl2br w:val="nil"/>
          <w:tr2bl w:val="nil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rPr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single" w:sz="6" w:space="0" w:color="4BACC6"/>
          <w:insideV w:val="single" w:sz="6" w:space="0" w:color="4BACC6"/>
          <w:tl2br w:val="nil"/>
          <w:tr2bl w:val="nil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rPr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single" w:sz="6" w:space="0" w:color="F79646"/>
          <w:insideV w:val="single" w:sz="6" w:space="0" w:color="F79646"/>
          <w:tl2br w:val="nil"/>
          <w:tr2bl w:val="nil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-Accent1">
    <w:name w:val="Medium Grid 3 Accent 1"/>
    <w:basedOn w:val="TableNormal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  <w:tl2br w:val="nil"/>
          <w:tr2bl w:val="nil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  <w:tl2br w:val="nil"/>
          <w:tr2bl w:val="nil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single" w:sz="8" w:space="0" w:color="FFFFFF"/>
          <w:bottom w:val="nil"/>
          <w:right w:val="single" w:sz="24" w:space="0" w:color="FFFFFF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  <w:tl2br w:val="nil"/>
          <w:tr2bl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  <w:tl2br w:val="nil"/>
          <w:tr2bl w:val="nil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  <w:tl2br w:val="nil"/>
          <w:tr2bl w:val="nil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  <w:tl2br w:val="nil"/>
          <w:tr2bl w:val="nil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single" w:sz="8" w:space="0" w:color="FFFFFF"/>
          <w:bottom w:val="nil"/>
          <w:right w:val="single" w:sz="24" w:space="0" w:color="FFFFFF"/>
          <w:insideH w:val="nil"/>
          <w:insideV w:val="nil"/>
          <w:tl2br w:val="nil"/>
          <w:tr2bl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  <w:tl2br w:val="nil"/>
          <w:tr2bl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  <w:tl2br w:val="nil"/>
          <w:tr2bl w:val="nil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  <w:tl2br w:val="nil"/>
          <w:tr2bl w:val="nil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  <w:tl2br w:val="nil"/>
          <w:tr2bl w:val="nil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single" w:sz="8" w:space="0" w:color="FFFFFF"/>
          <w:bottom w:val="nil"/>
          <w:right w:val="single" w:sz="24" w:space="0" w:color="FFFFFF"/>
          <w:insideH w:val="nil"/>
          <w:insideV w:val="nil"/>
          <w:tl2br w:val="nil"/>
          <w:tr2bl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  <w:tl2br w:val="nil"/>
          <w:tr2bl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  <w:tl2br w:val="nil"/>
          <w:tr2bl w:val="nil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  <w:tl2br w:val="nil"/>
          <w:tr2bl w:val="nil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  <w:tl2br w:val="nil"/>
          <w:tr2bl w:val="nil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single" w:sz="8" w:space="0" w:color="FFFFFF"/>
          <w:bottom w:val="nil"/>
          <w:right w:val="single" w:sz="24" w:space="0" w:color="FFFFFF"/>
          <w:insideH w:val="nil"/>
          <w:insideV w:val="nil"/>
          <w:tl2br w:val="nil"/>
          <w:tr2bl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  <w:tl2br w:val="nil"/>
          <w:tr2bl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  <w:tl2br w:val="nil"/>
          <w:tr2bl w:val="nil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  <w:tl2br w:val="nil"/>
          <w:tr2bl w:val="nil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  <w:tl2br w:val="nil"/>
          <w:tr2bl w:val="nil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single" w:sz="8" w:space="0" w:color="FFFFFF"/>
          <w:bottom w:val="nil"/>
          <w:right w:val="single" w:sz="24" w:space="0" w:color="FFFFFF"/>
          <w:insideH w:val="nil"/>
          <w:insideV w:val="nil"/>
          <w:tl2br w:val="nil"/>
          <w:tr2bl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  <w:tl2br w:val="nil"/>
          <w:tr2bl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  <w:tl2br w:val="nil"/>
          <w:tr2bl w:val="nil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  <w:tl2br w:val="nil"/>
          <w:tr2bl w:val="nil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  <w:tl2br w:val="nil"/>
          <w:tr2bl w:val="nil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single" w:sz="8" w:space="0" w:color="FFFFFF"/>
          <w:bottom w:val="nil"/>
          <w:right w:val="single" w:sz="24" w:space="0" w:color="FFFFFF"/>
          <w:insideH w:val="nil"/>
          <w:insideV w:val="nil"/>
          <w:tl2br w:val="nil"/>
          <w:tr2bl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  <w:tl2br w:val="nil"/>
          <w:tr2bl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  <w:tl2br w:val="nil"/>
          <w:tr2bl w:val="nil"/>
        </w:tcBorders>
        <w:shd w:val="clear" w:color="auto" w:fill="FBCAA2"/>
      </w:tcPr>
    </w:tblStylePr>
  </w:style>
  <w:style w:type="table" w:styleId="DarkList-Accent1">
    <w:name w:val="Dark List Accent 1"/>
    <w:basedOn w:val="TableNormal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  <w:tl2br w:val="nil"/>
          <w:tr2bl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365F91"/>
      </w:tcPr>
    </w:tblStylePr>
    <w:tblStylePr w:type="band1Vert">
      <w:tblPr/>
      <w:tcPr>
        <w:shd w:val="clear" w:color="auto" w:fill="365F91"/>
      </w:tcPr>
    </w:tblStylePr>
    <w:tblStylePr w:type="band1Horz">
      <w:tblPr/>
      <w:tcPr>
        <w:shd w:val="clear" w:color="auto" w:fill="365F91"/>
      </w:tcPr>
    </w:tblStylePr>
  </w:style>
  <w:style w:type="table" w:styleId="DarkList-Accent2">
    <w:name w:val="Dark List Accent 2"/>
    <w:basedOn w:val="TableNormal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  <w:tl2br w:val="nil"/>
          <w:tr2bl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943634"/>
      </w:tcPr>
    </w:tblStylePr>
    <w:tblStylePr w:type="band1Vert">
      <w:tblPr/>
      <w:tcPr>
        <w:shd w:val="clear" w:color="auto" w:fill="943634"/>
      </w:tcPr>
    </w:tblStylePr>
    <w:tblStylePr w:type="band1Horz">
      <w:tblPr/>
      <w:tcPr>
        <w:shd w:val="clear" w:color="auto" w:fill="943634"/>
      </w:tcPr>
    </w:tblStylePr>
  </w:style>
  <w:style w:type="table" w:styleId="DarkList-Accent3">
    <w:name w:val="Dark List Accent 3"/>
    <w:basedOn w:val="TableNormal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  <w:tl2br w:val="nil"/>
          <w:tr2bl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76923C"/>
      </w:tcPr>
    </w:tblStylePr>
    <w:tblStylePr w:type="band1Vert">
      <w:tblPr/>
      <w:tcPr>
        <w:shd w:val="clear" w:color="auto" w:fill="76923C"/>
      </w:tcPr>
    </w:tblStylePr>
    <w:tblStylePr w:type="band1Horz">
      <w:tblPr/>
      <w:tcPr>
        <w:shd w:val="clear" w:color="auto" w:fill="76923C"/>
      </w:tcPr>
    </w:tblStylePr>
  </w:style>
  <w:style w:type="table" w:styleId="DarkList-Accent4">
    <w:name w:val="Dark List Accent 4"/>
    <w:basedOn w:val="TableNormal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  <w:tl2br w:val="nil"/>
          <w:tr2bl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5F497A"/>
      </w:tcPr>
    </w:tblStylePr>
    <w:tblStylePr w:type="band1Vert">
      <w:tblPr/>
      <w:tcPr>
        <w:shd w:val="clear" w:color="auto" w:fill="5F497A"/>
      </w:tcPr>
    </w:tblStylePr>
    <w:tblStylePr w:type="band1Horz">
      <w:tblPr/>
      <w:tcPr>
        <w:shd w:val="clear" w:color="auto" w:fill="5F497A"/>
      </w:tcPr>
    </w:tblStylePr>
  </w:style>
  <w:style w:type="table" w:styleId="DarkList-Accent5">
    <w:name w:val="Dark List Accent 5"/>
    <w:basedOn w:val="TableNormal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  <w:tl2br w:val="nil"/>
          <w:tr2bl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31849B"/>
      </w:tcPr>
    </w:tblStylePr>
    <w:tblStylePr w:type="band1Vert">
      <w:tblPr/>
      <w:tcPr>
        <w:shd w:val="clear" w:color="auto" w:fill="31849B"/>
      </w:tcPr>
    </w:tblStylePr>
    <w:tblStylePr w:type="band1Horz">
      <w:tblPr/>
      <w:tcPr>
        <w:shd w:val="clear" w:color="auto" w:fill="31849B"/>
      </w:tcPr>
    </w:tblStylePr>
  </w:style>
  <w:style w:type="table" w:styleId="DarkList-Accent6">
    <w:name w:val="Dark List Accent 6"/>
    <w:basedOn w:val="TableNormal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  <w:tl2br w:val="nil"/>
          <w:tr2bl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36C0A"/>
      </w:tcPr>
    </w:tblStylePr>
    <w:tblStylePr w:type="band1Vert">
      <w:tblPr/>
      <w:tcPr>
        <w:shd w:val="clear" w:color="auto" w:fill="E36C0A"/>
      </w:tcPr>
    </w:tblStylePr>
    <w:tblStylePr w:type="band1Horz">
      <w:tblPr/>
      <w:tcPr>
        <w:shd w:val="clear" w:color="auto" w:fill="E36C0A"/>
      </w:tcPr>
    </w:tblStylePr>
  </w:style>
  <w:style w:type="table" w:styleId="ColorfulShading-Accent1">
    <w:name w:val="Colorful Shading Accent 1"/>
    <w:basedOn w:val="TableNormal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  <w:tl2br w:val="nil"/>
          <w:tr2bl w:val="nil"/>
        </w:tcBorders>
        <w:shd w:val="clear" w:color="auto" w:fill="2C4C74"/>
      </w:tcPr>
    </w:tblStylePr>
    <w:tblStylePr w:type="lastCol">
      <w:rPr>
        <w:color w:val="FFFFFF"/>
      </w:rPr>
      <w:tblPr/>
      <w:tcPr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  <w:tl2br w:val="nil"/>
          <w:tr2bl w:val="nil"/>
        </w:tcBorders>
        <w:shd w:val="clear" w:color="auto" w:fill="772C2A"/>
      </w:tcPr>
    </w:tblStylePr>
    <w:tblStylePr w:type="lastCol">
      <w:rPr>
        <w:color w:val="FFFFFF"/>
      </w:rPr>
      <w:tblPr/>
      <w:tcPr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  <w:tl2br w:val="nil"/>
          <w:tr2bl w:val="nil"/>
        </w:tcBorders>
        <w:shd w:val="clear" w:color="auto" w:fill="5E7530"/>
      </w:tcPr>
    </w:tblStylePr>
    <w:tblStylePr w:type="lastCol">
      <w:rPr>
        <w:color w:val="FFFFFF"/>
      </w:rPr>
      <w:tblPr/>
      <w:tcPr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  <w:tl2br w:val="nil"/>
          <w:tr2bl w:val="nil"/>
        </w:tcBorders>
        <w:shd w:val="clear" w:color="auto" w:fill="4C3B62"/>
      </w:tcPr>
    </w:tblStylePr>
    <w:tblStylePr w:type="lastCol">
      <w:rPr>
        <w:color w:val="FFFFFF"/>
      </w:rPr>
      <w:tblPr/>
      <w:tcPr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  <w:tl2br w:val="nil"/>
          <w:tr2bl w:val="nil"/>
        </w:tcBorders>
        <w:shd w:val="clear" w:color="auto" w:fill="276A7C"/>
      </w:tcPr>
    </w:tblStylePr>
    <w:tblStylePr w:type="lastCol">
      <w:rPr>
        <w:color w:val="FFFFFF"/>
      </w:rPr>
      <w:tblPr/>
      <w:tcPr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  <w:tl2br w:val="nil"/>
          <w:tr2bl w:val="nil"/>
        </w:tcBorders>
        <w:shd w:val="clear" w:color="auto" w:fill="B65608"/>
      </w:tcPr>
    </w:tblStylePr>
    <w:tblStylePr w:type="lastCol">
      <w:rPr>
        <w:color w:val="FFFFFF"/>
      </w:rPr>
      <w:tblPr/>
      <w:tcPr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List-Accent1">
    <w:name w:val="Colorful List Accent 1"/>
    <w:basedOn w:val="TableNormal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sz="12" w:space="0" w:color="FFFFFF"/>
          <w:right w:val="nil"/>
          <w:insideH w:val="nil"/>
          <w:insideV w:val="nil"/>
          <w:tl2br w:val="nil"/>
          <w:tr2bl w:val="nil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sz="12" w:space="0" w:color="FFFFFF"/>
          <w:right w:val="nil"/>
          <w:insideH w:val="nil"/>
          <w:insideV w:val="nil"/>
          <w:tl2br w:val="nil"/>
          <w:tr2bl w:val="nil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sz="12" w:space="0" w:color="FFFFFF"/>
          <w:right w:val="nil"/>
          <w:insideH w:val="nil"/>
          <w:insideV w:val="nil"/>
          <w:tl2br w:val="nil"/>
          <w:tr2bl w:val="nil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sz="12" w:space="0" w:color="FFFFFF"/>
          <w:right w:val="nil"/>
          <w:insideH w:val="nil"/>
          <w:insideV w:val="nil"/>
          <w:tl2br w:val="nil"/>
          <w:tr2bl w:val="nil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sz="12" w:space="0" w:color="FFFFFF"/>
          <w:right w:val="nil"/>
          <w:insideH w:val="nil"/>
          <w:insideV w:val="nil"/>
          <w:tl2br w:val="nil"/>
          <w:tr2bl w:val="nil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sz="12" w:space="0" w:color="FFFFFF"/>
          <w:right w:val="nil"/>
          <w:insideH w:val="nil"/>
          <w:insideV w:val="nil"/>
          <w:tl2br w:val="nil"/>
          <w:tr2bl w:val="nil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Grid-Accent1">
    <w:name w:val="Colorful Grid Accent 1"/>
    <w:basedOn w:val="TableNormal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character" w:styleId="Strong">
    <w:name w:val="Strong"/>
    <w:qFormat/>
    <w:rPr>
      <w:b/>
      <w:bCs/>
    </w:rPr>
  </w:style>
  <w:style w:type="character" w:styleId="EndnoteReference">
    <w:name w:val="endnote reference"/>
    <w:rPr>
      <w:rFonts w:ascii="Times New Roman" w:eastAsia="SimSun" w:hAnsi="Times New Roman" w:cs="Simplified Arabic"/>
      <w:sz w:val="18"/>
      <w:szCs w:val="18"/>
      <w:vertAlign w:val="superscript"/>
      <w:lang w:val="en-GB" w:bidi="ar-AE"/>
    </w:rPr>
  </w:style>
  <w:style w:type="character" w:styleId="PageNumber">
    <w:name w:val="page number"/>
    <w:rPr>
      <w:rFonts w:ascii="Times New Roman" w:eastAsia="SimSun" w:hAnsi="Times New Roman" w:cs="Simplified Arabic"/>
      <w:sz w:val="24"/>
      <w:szCs w:val="24"/>
      <w:lang w:val="en-GB" w:bidi="ar-AE"/>
    </w:rPr>
  </w:style>
  <w:style w:type="character" w:styleId="FollowedHyperlink">
    <w:name w:val="FollowedHyperlink"/>
    <w:rPr>
      <w:color w:val="800080"/>
      <w:u w:val="single"/>
    </w:rPr>
  </w:style>
  <w:style w:type="character" w:styleId="Emphasis">
    <w:name w:val="Emphasis"/>
    <w:qFormat/>
    <w:rPr>
      <w:i/>
      <w:iCs/>
    </w:rPr>
  </w:style>
  <w:style w:type="character" w:styleId="Hyperlink">
    <w:name w:val="Hyperlink"/>
    <w:uiPriority w:val="99"/>
    <w:rPr>
      <w:color w:val="0000FF"/>
      <w:u w:val="single"/>
    </w:rPr>
  </w:style>
  <w:style w:type="character" w:styleId="CommentReference">
    <w:name w:val="annotation reference"/>
    <w:rPr>
      <w:rFonts w:ascii="Times New Roman" w:eastAsia="SimSun" w:hAnsi="Times New Roman" w:cs="Simplified Arabic"/>
      <w:sz w:val="18"/>
      <w:szCs w:val="18"/>
      <w:lang w:val="en-GB" w:bidi="ar-AE"/>
    </w:rPr>
  </w:style>
  <w:style w:type="character" w:styleId="FootnoteReference">
    <w:name w:val="footnote reference"/>
    <w:rPr>
      <w:rFonts w:ascii="Times New Roman" w:eastAsia="SimSun" w:hAnsi="Times New Roman" w:cs="Simplified Arabic"/>
      <w:sz w:val="18"/>
      <w:szCs w:val="18"/>
      <w:vertAlign w:val="superscript"/>
      <w:lang w:bidi="ar-AE"/>
    </w:rPr>
  </w:style>
  <w:style w:type="paragraph" w:customStyle="1" w:styleId="BodyText1">
    <w:name w:val="Body Text 1"/>
    <w:basedOn w:val="Normal"/>
    <w:pPr>
      <w:ind w:left="720"/>
    </w:pPr>
    <w:rPr>
      <w:lang w:eastAsia="en-GB"/>
    </w:rPr>
  </w:style>
  <w:style w:type="paragraph" w:customStyle="1" w:styleId="BodyText4">
    <w:name w:val="Body Text 4"/>
    <w:basedOn w:val="Normal"/>
    <w:pPr>
      <w:ind w:left="2880"/>
    </w:pPr>
    <w:rPr>
      <w:lang w:eastAsia="en-GB"/>
    </w:rPr>
  </w:style>
  <w:style w:type="paragraph" w:customStyle="1" w:styleId="BodyText5">
    <w:name w:val="Body Text 5"/>
    <w:basedOn w:val="Normal"/>
    <w:pPr>
      <w:ind w:left="3600"/>
    </w:pPr>
    <w:rPr>
      <w:lang w:eastAsia="en-GB"/>
    </w:rPr>
  </w:style>
  <w:style w:type="paragraph" w:customStyle="1" w:styleId="BodyText6">
    <w:name w:val="Body Text 6"/>
    <w:basedOn w:val="Normal"/>
    <w:pPr>
      <w:ind w:left="4320"/>
    </w:pPr>
    <w:rPr>
      <w:lang w:eastAsia="en-GB"/>
    </w:rPr>
  </w:style>
  <w:style w:type="paragraph" w:customStyle="1" w:styleId="BodyText7">
    <w:name w:val="Body Text 7"/>
    <w:basedOn w:val="Normal"/>
    <w:pPr>
      <w:ind w:left="5041"/>
    </w:pPr>
    <w:rPr>
      <w:lang w:eastAsia="en-GB"/>
    </w:rPr>
  </w:style>
  <w:style w:type="paragraph" w:customStyle="1" w:styleId="FooterRight">
    <w:name w:val="Footer Right"/>
    <w:basedOn w:val="Footer"/>
    <w:pPr>
      <w:jc w:val="right"/>
    </w:pPr>
  </w:style>
  <w:style w:type="paragraph" w:customStyle="1" w:styleId="Footnote">
    <w:name w:val="Footnote"/>
    <w:basedOn w:val="FootnoteText"/>
    <w:pPr>
      <w:tabs>
        <w:tab w:val="left" w:pos="340"/>
      </w:tabs>
    </w:p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Spacing">
    <w:name w:val="No Spacing"/>
    <w:basedOn w:val="Normal"/>
    <w:qFormat/>
    <w:pPr>
      <w:spacing w:after="0"/>
    </w:pPr>
  </w:style>
  <w:style w:type="paragraph" w:customStyle="1" w:styleId="NormalBold">
    <w:name w:val="NormalBold"/>
    <w:basedOn w:val="Normal"/>
    <w:next w:val="Normal"/>
    <w:rPr>
      <w:b/>
      <w:bCs/>
    </w:rPr>
  </w:style>
  <w:style w:type="paragraph" w:customStyle="1" w:styleId="NormalBoldNS">
    <w:name w:val="NormalBoldNS"/>
    <w:basedOn w:val="Normal"/>
    <w:next w:val="Normal"/>
    <w:pPr>
      <w:spacing w:after="0"/>
      <w:jc w:val="left"/>
    </w:pPr>
    <w:rPr>
      <w:b/>
      <w:bCs/>
    </w:rPr>
  </w:style>
  <w:style w:type="paragraph" w:customStyle="1" w:styleId="NormalNS">
    <w:name w:val="NormalNS"/>
    <w:basedOn w:val="Normal"/>
    <w:pPr>
      <w:spacing w:after="0"/>
    </w:pPr>
  </w:style>
  <w:style w:type="paragraph" w:customStyle="1" w:styleId="NormalRight">
    <w:name w:val="NormalRight"/>
    <w:basedOn w:val="NormalNS"/>
    <w:pPr>
      <w:jc w:val="right"/>
    </w:pPr>
  </w:style>
  <w:style w:type="paragraph" w:customStyle="1" w:styleId="NoteContinuation">
    <w:name w:val="Note Continuation"/>
    <w:basedOn w:val="Normal"/>
    <w:pPr>
      <w:spacing w:after="120"/>
      <w:ind w:left="340"/>
    </w:pPr>
    <w:rPr>
      <w:sz w:val="20"/>
      <w:szCs w:val="20"/>
    </w:rPr>
  </w:style>
  <w:style w:type="paragraph" w:styleId="TOCHeading">
    <w:name w:val="TOC Heading"/>
    <w:basedOn w:val="Normal"/>
    <w:next w:val="Normal"/>
    <w:qFormat/>
    <w:pPr>
      <w:jc w:val="center"/>
    </w:pPr>
    <w:rPr>
      <w:b/>
      <w:bCs/>
      <w:caps/>
    </w:rPr>
  </w:style>
  <w:style w:type="paragraph" w:customStyle="1" w:styleId="BGHStandard">
    <w:name w:val="BGH Standard"/>
    <w:basedOn w:val="Normal"/>
    <w:pPr>
      <w:ind w:left="1985"/>
    </w:pPr>
    <w:rPr>
      <w:lang w:eastAsia="en-GB"/>
    </w:rPr>
  </w:style>
  <w:style w:type="paragraph" w:customStyle="1" w:styleId="NormalRight12">
    <w:name w:val="NormalRight12"/>
    <w:basedOn w:val="NormalRight"/>
    <w:pPr>
      <w:spacing w:after="240"/>
    </w:pPr>
  </w:style>
  <w:style w:type="paragraph" w:customStyle="1" w:styleId="SubTitle0">
    <w:name w:val="SubTitle0"/>
    <w:basedOn w:val="Subtitle"/>
    <w:pPr>
      <w:spacing w:after="0"/>
    </w:pPr>
  </w:style>
  <w:style w:type="paragraph" w:customStyle="1" w:styleId="OptionLabel">
    <w:name w:val="OptionLabel"/>
    <w:rPr>
      <w:b/>
      <w:bCs/>
      <w:sz w:val="24"/>
      <w:szCs w:val="24"/>
      <w:lang w:val="en-GB" w:bidi="ar-AE"/>
    </w:rPr>
  </w:style>
  <w:style w:type="paragraph" w:customStyle="1" w:styleId="NormalLeft">
    <w:name w:val="NormalLeft"/>
    <w:basedOn w:val="Normal"/>
    <w:next w:val="Normal"/>
    <w:pPr>
      <w:jc w:val="left"/>
    </w:pPr>
  </w:style>
  <w:style w:type="paragraph" w:styleId="Bibliography">
    <w:name w:val="Bibliography"/>
    <w:basedOn w:val="Normal"/>
    <w:next w:val="Normal"/>
  </w:style>
  <w:style w:type="table" w:customStyle="1" w:styleId="ColorfulGrid1">
    <w:name w:val="Colorful Grid1"/>
    <w:basedOn w:val="TableNormal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ColorfulList1">
    <w:name w:val="Colorful List1"/>
    <w:basedOn w:val="TableNormal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sz="12" w:space="0" w:color="FFFFFF"/>
          <w:right w:val="nil"/>
          <w:insideH w:val="nil"/>
          <w:insideV w:val="nil"/>
          <w:tl2br w:val="nil"/>
          <w:tr2bl w:val="nil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customStyle="1" w:styleId="ColorfulShading1">
    <w:name w:val="Colorful Shading1"/>
    <w:basedOn w:val="TableNormal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  <w:tl2br w:val="nil"/>
          <w:tr2bl w:val="nil"/>
        </w:tcBorders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DarkList1">
    <w:name w:val="Dark List1"/>
    <w:basedOn w:val="TableNormal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band1Vert">
      <w:tblPr/>
      <w:tcPr>
        <w:shd w:val="clear" w:color="auto" w:fill="000000"/>
      </w:tcPr>
    </w:tblStylePr>
    <w:tblStylePr w:type="band1Horz">
      <w:tblPr/>
      <w:tcPr>
        <w:shd w:val="clear" w:color="auto" w:fill="000000"/>
      </w:tcPr>
    </w:tblStylePr>
  </w:style>
  <w:style w:type="paragraph" w:styleId="IntenseQuote">
    <w:name w:val="Intense Quote"/>
    <w:basedOn w:val="Normal"/>
    <w:next w:val="Normal"/>
    <w:link w:val="IntenseQuoteChar"/>
    <w:qFormat/>
    <w:pPr>
      <w:pBdr>
        <w:bottom w:val="single" w:sz="4" w:space="4" w:color="4F81BD"/>
      </w:pBdr>
      <w:spacing w:before="200" w:after="280"/>
      <w:ind w:left="936" w:right="936"/>
    </w:pPr>
    <w:rPr>
      <w:rFonts w:cs="Simplified Arabic"/>
      <w:b/>
      <w:bCs/>
      <w:i/>
      <w:iCs/>
      <w:color w:val="4F81BD"/>
    </w:rPr>
  </w:style>
  <w:style w:type="character" w:customStyle="1" w:styleId="IntenseQuoteChar">
    <w:name w:val="Intense Quote Char"/>
    <w:link w:val="IntenseQuote"/>
    <w:rPr>
      <w:b/>
      <w:bCs/>
      <w:i/>
      <w:iCs/>
      <w:color w:val="4F81BD"/>
      <w:sz w:val="24"/>
      <w:szCs w:val="24"/>
      <w:lang w:bidi="ar-AE"/>
    </w:rPr>
  </w:style>
  <w:style w:type="table" w:customStyle="1" w:styleId="LightGrid1">
    <w:name w:val="Light Grid1"/>
    <w:basedOn w:val="TableNormal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  <w:tl2br w:val="nil"/>
          <w:tr2bl w:val="nil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  <w:tl2br w:val="nil"/>
          <w:tr2bl w:val="nil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  <w:tl2br w:val="nil"/>
          <w:tr2bl w:val="nil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  <w:tl2br w:val="nil"/>
          <w:tr2bl w:val="nil"/>
        </w:tcBorders>
      </w:tcPr>
    </w:tblStylePr>
  </w:style>
  <w:style w:type="table" w:customStyle="1" w:styleId="LightGrid-Accent11">
    <w:name w:val="Light Grid - Accent 11"/>
    <w:basedOn w:val="TableNormal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  <w:tl2br w:val="nil"/>
          <w:tr2bl w:val="nil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nil"/>
          <w:tl2br w:val="nil"/>
          <w:tr2bl w:val="nil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  <w:tl2br w:val="nil"/>
          <w:tr2bl w:val="nil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  <w:tl2br w:val="nil"/>
          <w:tr2bl w:val="nil"/>
        </w:tcBorders>
      </w:tcPr>
    </w:tblStylePr>
  </w:style>
  <w:style w:type="table" w:customStyle="1" w:styleId="LightList1">
    <w:name w:val="Light List1"/>
    <w:basedOn w:val="TableNormal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  <w:tl2br w:val="nil"/>
          <w:tr2bl w:val="nil"/>
        </w:tcBorders>
      </w:tcPr>
    </w:tblStylePr>
  </w:style>
  <w:style w:type="table" w:customStyle="1" w:styleId="LightList-Accent11">
    <w:name w:val="Light List - Accent 11"/>
    <w:basedOn w:val="TableNormal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nil"/>
          <w:tl2br w:val="nil"/>
          <w:tr2bl w:val="nil"/>
        </w:tcBorders>
      </w:tcPr>
    </w:tblStylePr>
  </w:style>
  <w:style w:type="table" w:customStyle="1" w:styleId="LightShading1">
    <w:name w:val="Light Shading1"/>
    <w:basedOn w:val="TableNormal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LightShading-Accent11">
    <w:name w:val="Light Shading - Accent 11"/>
    <w:basedOn w:val="TableNormal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customStyle="1" w:styleId="MediumGrid11">
    <w:name w:val="Medium Grid 11"/>
    <w:basedOn w:val="TableNormal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MediumGrid21">
    <w:name w:val="Medium Grid 21"/>
    <w:basedOn w:val="TableNormal"/>
    <w:rPr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31">
    <w:name w:val="Medium Grid 31"/>
    <w:basedOn w:val="TableNormal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  <w:tl2br w:val="nil"/>
          <w:tr2bl w:val="nil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  <w:tl2br w:val="nil"/>
          <w:tr2bl w:val="nil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single" w:sz="8" w:space="0" w:color="FFFFFF"/>
          <w:bottom w:val="nil"/>
          <w:right w:val="single" w:sz="24" w:space="0" w:color="FFFFFF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  <w:tl2br w:val="nil"/>
          <w:tr2bl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  <w:tl2br w:val="nil"/>
          <w:tr2bl w:val="nil"/>
        </w:tcBorders>
        <w:shd w:val="clear" w:color="auto" w:fill="808080"/>
      </w:tcPr>
    </w:tblStylePr>
  </w:style>
  <w:style w:type="table" w:customStyle="1" w:styleId="MediumList11">
    <w:name w:val="Medium List 11"/>
    <w:basedOn w:val="TableNormal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Times New Roman" w:eastAsia="Times New Roman" w:hAnsi="Times New Roman" w:cs="Times New Roman"/>
      </w:rPr>
      <w:tblPr/>
      <w:tcPr>
        <w:tcBorders>
          <w:top w:val="nil"/>
          <w:left w:val="nil"/>
          <w:bottom w:val="single" w:sz="8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MediumList1-Accent11">
    <w:name w:val="Medium List 1 - Accent 11"/>
    <w:basedOn w:val="TableNormal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Times New Roman" w:eastAsia="Times New Roman" w:hAnsi="Times New Roman" w:cs="Times New Roman"/>
      </w:rPr>
      <w:tblPr/>
      <w:tcPr>
        <w:tcBorders>
          <w:top w:val="nil"/>
          <w:left w:val="nil"/>
          <w:bottom w:val="single" w:sz="8" w:space="0" w:color="4F81BD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customStyle="1" w:styleId="MediumList21">
    <w:name w:val="Medium List 21"/>
    <w:basedOn w:val="TableNormal"/>
    <w:rPr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  <w:tblStylePr w:type="nwCell">
      <w:tblPr/>
      <w:tcPr>
        <w:shd w:val="clear" w:color="auto" w:fill="FFFFFF"/>
      </w:tcPr>
    </w:tblStylePr>
  </w:style>
  <w:style w:type="table" w:customStyle="1" w:styleId="MediumShading11">
    <w:name w:val="Medium Shading 11"/>
    <w:basedOn w:val="TableNormal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MediumShading1-Accent11">
    <w:name w:val="Medium Shading 1 - Accent 11"/>
    <w:basedOn w:val="TableNormal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customStyle="1" w:styleId="MediumShading21">
    <w:name w:val="Medium Shading 21"/>
    <w:basedOn w:val="TableNormal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MediumShading2-Accent11">
    <w:name w:val="Medium Shading 2 - Accent 11"/>
    <w:basedOn w:val="TableNormal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shd w:val="clear" w:color="auto" w:fill="4F81BD"/>
      </w:tcPr>
    </w:tblStylePr>
    <w:tblStylePr w:type="band1Vert">
      <w:tblPr/>
      <w:tcPr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Quote">
    <w:name w:val="Quote"/>
    <w:basedOn w:val="Normal"/>
    <w:next w:val="Normal"/>
    <w:link w:val="QuoteChar"/>
    <w:qFormat/>
    <w:rPr>
      <w:rFonts w:cs="Simplified Arabic"/>
      <w:i/>
      <w:iCs/>
      <w:color w:val="000000"/>
    </w:rPr>
  </w:style>
  <w:style w:type="character" w:customStyle="1" w:styleId="QuoteChar">
    <w:name w:val="Quote Char"/>
    <w:link w:val="Quote"/>
    <w:rPr>
      <w:i/>
      <w:iCs/>
      <w:color w:val="000000"/>
      <w:sz w:val="24"/>
      <w:szCs w:val="24"/>
      <w:lang w:bidi="ar-AE"/>
    </w:rPr>
  </w:style>
  <w:style w:type="paragraph" w:customStyle="1" w:styleId="StandardL9">
    <w:name w:val="Standard L9"/>
    <w:basedOn w:val="Normal"/>
    <w:next w:val="BodyText3"/>
    <w:link w:val="StandardL9Char"/>
    <w:pPr>
      <w:tabs>
        <w:tab w:val="left" w:pos="2160"/>
      </w:tabs>
      <w:ind w:left="2160" w:hanging="720"/>
      <w:outlineLvl w:val="8"/>
    </w:pPr>
    <w:rPr>
      <w:rFonts w:cs="Simplified Arabic"/>
    </w:rPr>
  </w:style>
  <w:style w:type="character" w:customStyle="1" w:styleId="StandardL9Char">
    <w:name w:val="Standard L9 Char"/>
    <w:link w:val="StandardL9"/>
    <w:rPr>
      <w:rFonts w:cs="Simplified Arabic"/>
      <w:sz w:val="24"/>
      <w:szCs w:val="24"/>
      <w:lang w:val="en-GB" w:bidi="ar-AE"/>
    </w:rPr>
  </w:style>
  <w:style w:type="paragraph" w:customStyle="1" w:styleId="StandardL8">
    <w:name w:val="Standard L8"/>
    <w:basedOn w:val="Normal"/>
    <w:next w:val="BodyText2"/>
    <w:link w:val="StandardL8Char"/>
    <w:pPr>
      <w:tabs>
        <w:tab w:val="left" w:pos="1440"/>
      </w:tabs>
      <w:ind w:left="1440" w:hanging="720"/>
      <w:outlineLvl w:val="7"/>
    </w:pPr>
    <w:rPr>
      <w:rFonts w:cs="Simplified Arabic"/>
    </w:rPr>
  </w:style>
  <w:style w:type="character" w:customStyle="1" w:styleId="StandardL8Char">
    <w:name w:val="Standard L8 Char"/>
    <w:link w:val="StandardL8"/>
    <w:rPr>
      <w:rFonts w:cs="Simplified Arabic"/>
      <w:sz w:val="24"/>
      <w:szCs w:val="24"/>
      <w:lang w:val="en-GB" w:bidi="ar-AE"/>
    </w:rPr>
  </w:style>
  <w:style w:type="paragraph" w:customStyle="1" w:styleId="StandardL7">
    <w:name w:val="Standard L7"/>
    <w:basedOn w:val="Normal"/>
    <w:next w:val="BodyText6"/>
    <w:link w:val="StandardL7Char"/>
    <w:pPr>
      <w:tabs>
        <w:tab w:val="left" w:pos="4320"/>
      </w:tabs>
      <w:ind w:left="4321" w:hanging="721"/>
      <w:outlineLvl w:val="6"/>
    </w:pPr>
    <w:rPr>
      <w:rFonts w:cs="Simplified Arabic"/>
    </w:rPr>
  </w:style>
  <w:style w:type="character" w:customStyle="1" w:styleId="StandardL7Char">
    <w:name w:val="Standard L7 Char"/>
    <w:link w:val="StandardL7"/>
    <w:rPr>
      <w:rFonts w:cs="Simplified Arabic"/>
      <w:sz w:val="24"/>
      <w:szCs w:val="24"/>
      <w:lang w:val="en-GB" w:bidi="ar-AE"/>
    </w:rPr>
  </w:style>
  <w:style w:type="paragraph" w:customStyle="1" w:styleId="StandardL6">
    <w:name w:val="Standard L6"/>
    <w:basedOn w:val="Normal"/>
    <w:next w:val="BodyText5"/>
    <w:link w:val="StandardL6Char"/>
    <w:pPr>
      <w:tabs>
        <w:tab w:val="left" w:pos="3600"/>
      </w:tabs>
      <w:ind w:left="3600" w:hanging="720"/>
      <w:outlineLvl w:val="5"/>
    </w:pPr>
    <w:rPr>
      <w:rFonts w:cs="Simplified Arabic"/>
    </w:rPr>
  </w:style>
  <w:style w:type="character" w:customStyle="1" w:styleId="StandardL6Char">
    <w:name w:val="Standard L6 Char"/>
    <w:link w:val="StandardL6"/>
    <w:rPr>
      <w:rFonts w:cs="Simplified Arabic"/>
      <w:sz w:val="24"/>
      <w:szCs w:val="24"/>
      <w:lang w:val="en-GB" w:bidi="ar-AE"/>
    </w:rPr>
  </w:style>
  <w:style w:type="paragraph" w:customStyle="1" w:styleId="StandardL5">
    <w:name w:val="Standard L5"/>
    <w:basedOn w:val="Normal"/>
    <w:next w:val="BodyText4"/>
    <w:link w:val="StandardL5Char"/>
    <w:pPr>
      <w:tabs>
        <w:tab w:val="left" w:pos="2880"/>
      </w:tabs>
      <w:ind w:left="2880" w:hanging="720"/>
      <w:outlineLvl w:val="4"/>
    </w:pPr>
    <w:rPr>
      <w:rFonts w:cs="Simplified Arabic"/>
    </w:rPr>
  </w:style>
  <w:style w:type="character" w:customStyle="1" w:styleId="StandardL5Char">
    <w:name w:val="Standard L5 Char"/>
    <w:link w:val="StandardL5"/>
    <w:rPr>
      <w:rFonts w:cs="Simplified Arabic"/>
      <w:sz w:val="24"/>
      <w:szCs w:val="24"/>
      <w:lang w:val="en-GB" w:bidi="ar-AE"/>
    </w:rPr>
  </w:style>
  <w:style w:type="paragraph" w:customStyle="1" w:styleId="BulletL9">
    <w:name w:val="Bullet L9"/>
    <w:basedOn w:val="Normal"/>
    <w:link w:val="BulletL9Char"/>
    <w:pPr>
      <w:tabs>
        <w:tab w:val="left" w:pos="0"/>
      </w:tabs>
      <w:ind w:left="1"/>
      <w:outlineLvl w:val="8"/>
    </w:pPr>
    <w:rPr>
      <w:rFonts w:cs="Simplified Arabic"/>
    </w:rPr>
  </w:style>
  <w:style w:type="character" w:customStyle="1" w:styleId="BulletL9Char">
    <w:name w:val="Bullet L9 Char"/>
    <w:link w:val="BulletL9"/>
    <w:rPr>
      <w:rFonts w:cs="Simplified Arabic"/>
      <w:sz w:val="24"/>
      <w:szCs w:val="24"/>
      <w:lang w:val="en-GB" w:bidi="ar-AE"/>
    </w:rPr>
  </w:style>
  <w:style w:type="paragraph" w:customStyle="1" w:styleId="BulletL8">
    <w:name w:val="Bullet L8"/>
    <w:basedOn w:val="Normal"/>
    <w:link w:val="BulletL8Char"/>
    <w:pPr>
      <w:tabs>
        <w:tab w:val="left" w:pos="0"/>
      </w:tabs>
      <w:ind w:left="1"/>
      <w:outlineLvl w:val="7"/>
    </w:pPr>
    <w:rPr>
      <w:rFonts w:cs="Simplified Arabic"/>
    </w:rPr>
  </w:style>
  <w:style w:type="character" w:customStyle="1" w:styleId="BulletL8Char">
    <w:name w:val="Bullet L8 Char"/>
    <w:link w:val="BulletL8"/>
    <w:rPr>
      <w:rFonts w:cs="Simplified Arabic"/>
      <w:sz w:val="24"/>
      <w:szCs w:val="24"/>
      <w:lang w:val="en-GB" w:bidi="ar-AE"/>
    </w:rPr>
  </w:style>
  <w:style w:type="paragraph" w:customStyle="1" w:styleId="BulletL7">
    <w:name w:val="Bullet L7"/>
    <w:basedOn w:val="Normal"/>
    <w:link w:val="BulletL7Char"/>
    <w:pPr>
      <w:tabs>
        <w:tab w:val="left" w:pos="5040"/>
      </w:tabs>
      <w:ind w:left="5041" w:hanging="720"/>
      <w:outlineLvl w:val="6"/>
    </w:pPr>
    <w:rPr>
      <w:rFonts w:cs="Simplified Arabic"/>
    </w:rPr>
  </w:style>
  <w:style w:type="character" w:customStyle="1" w:styleId="BulletL7Char">
    <w:name w:val="Bullet L7 Char"/>
    <w:link w:val="BulletL7"/>
    <w:rPr>
      <w:rFonts w:cs="Simplified Arabic"/>
      <w:sz w:val="24"/>
      <w:szCs w:val="24"/>
      <w:lang w:val="en-GB" w:bidi="ar-AE"/>
    </w:rPr>
  </w:style>
  <w:style w:type="paragraph" w:customStyle="1" w:styleId="BulletL6">
    <w:name w:val="Bullet L6"/>
    <w:basedOn w:val="Normal"/>
    <w:link w:val="BulletL6Char"/>
    <w:pPr>
      <w:tabs>
        <w:tab w:val="left" w:pos="4320"/>
      </w:tabs>
      <w:ind w:left="4321" w:hanging="720"/>
      <w:outlineLvl w:val="5"/>
    </w:pPr>
    <w:rPr>
      <w:rFonts w:cs="Simplified Arabic"/>
    </w:rPr>
  </w:style>
  <w:style w:type="character" w:customStyle="1" w:styleId="BulletL6Char">
    <w:name w:val="Bullet L6 Char"/>
    <w:link w:val="BulletL6"/>
    <w:rPr>
      <w:rFonts w:cs="Simplified Arabic"/>
      <w:sz w:val="24"/>
      <w:szCs w:val="24"/>
      <w:lang w:val="en-GB" w:bidi="ar-AE"/>
    </w:rPr>
  </w:style>
  <w:style w:type="paragraph" w:customStyle="1" w:styleId="BulletL5">
    <w:name w:val="Bullet L5"/>
    <w:basedOn w:val="Normal"/>
    <w:link w:val="BulletL5Char"/>
    <w:pPr>
      <w:tabs>
        <w:tab w:val="left" w:pos="3600"/>
      </w:tabs>
      <w:ind w:left="3601" w:hanging="720"/>
      <w:outlineLvl w:val="4"/>
    </w:pPr>
    <w:rPr>
      <w:rFonts w:cs="Simplified Arabic"/>
    </w:rPr>
  </w:style>
  <w:style w:type="character" w:customStyle="1" w:styleId="BulletL5Char">
    <w:name w:val="Bullet L5 Char"/>
    <w:link w:val="BulletL5"/>
    <w:rPr>
      <w:rFonts w:cs="Simplified Arabic"/>
      <w:sz w:val="24"/>
      <w:szCs w:val="24"/>
      <w:lang w:val="en-GB" w:bidi="ar-AE"/>
    </w:rPr>
  </w:style>
  <w:style w:type="paragraph" w:customStyle="1" w:styleId="BulletL4">
    <w:name w:val="Bullet L4"/>
    <w:basedOn w:val="Normal"/>
    <w:link w:val="BulletL4Char"/>
    <w:pPr>
      <w:tabs>
        <w:tab w:val="left" w:pos="2880"/>
      </w:tabs>
      <w:ind w:left="2881" w:hanging="720"/>
      <w:outlineLvl w:val="3"/>
    </w:pPr>
    <w:rPr>
      <w:rFonts w:cs="Simplified Arabic"/>
    </w:rPr>
  </w:style>
  <w:style w:type="character" w:customStyle="1" w:styleId="BulletL4Char">
    <w:name w:val="Bullet L4 Char"/>
    <w:link w:val="BulletL4"/>
    <w:rPr>
      <w:rFonts w:cs="Simplified Arabic"/>
      <w:sz w:val="24"/>
      <w:szCs w:val="24"/>
      <w:lang w:val="en-GB" w:bidi="ar-AE"/>
    </w:rPr>
  </w:style>
  <w:style w:type="paragraph" w:customStyle="1" w:styleId="BulletL3">
    <w:name w:val="Bullet L3"/>
    <w:basedOn w:val="Normal"/>
    <w:link w:val="BulletL3Char"/>
    <w:pPr>
      <w:tabs>
        <w:tab w:val="left" w:pos="2160"/>
      </w:tabs>
      <w:ind w:left="2161" w:hanging="720"/>
      <w:outlineLvl w:val="2"/>
    </w:pPr>
    <w:rPr>
      <w:rFonts w:cs="Simplified Arabic"/>
    </w:rPr>
  </w:style>
  <w:style w:type="character" w:customStyle="1" w:styleId="BulletL3Char">
    <w:name w:val="Bullet L3 Char"/>
    <w:link w:val="BulletL3"/>
    <w:rPr>
      <w:rFonts w:cs="Simplified Arabic"/>
      <w:sz w:val="24"/>
      <w:szCs w:val="24"/>
      <w:lang w:val="en-GB" w:bidi="ar-AE"/>
    </w:rPr>
  </w:style>
  <w:style w:type="paragraph" w:customStyle="1" w:styleId="BulletL2">
    <w:name w:val="Bullet L2"/>
    <w:basedOn w:val="Normal"/>
    <w:link w:val="BulletL2Char"/>
    <w:pPr>
      <w:tabs>
        <w:tab w:val="left" w:pos="1440"/>
      </w:tabs>
      <w:ind w:left="1441" w:hanging="720"/>
      <w:outlineLvl w:val="1"/>
    </w:pPr>
    <w:rPr>
      <w:rFonts w:cs="Simplified Arabic"/>
    </w:rPr>
  </w:style>
  <w:style w:type="character" w:customStyle="1" w:styleId="BulletL2Char">
    <w:name w:val="Bullet L2 Char"/>
    <w:link w:val="BulletL2"/>
    <w:rPr>
      <w:rFonts w:cs="Simplified Arabic"/>
      <w:sz w:val="24"/>
      <w:szCs w:val="24"/>
      <w:lang w:val="en-GB" w:bidi="ar-AE"/>
    </w:rPr>
  </w:style>
  <w:style w:type="paragraph" w:customStyle="1" w:styleId="BulletL1">
    <w:name w:val="Bullet L1"/>
    <w:basedOn w:val="Normal"/>
    <w:link w:val="BulletL1Char"/>
    <w:pPr>
      <w:tabs>
        <w:tab w:val="left" w:pos="720"/>
      </w:tabs>
      <w:ind w:left="721" w:hanging="720"/>
      <w:outlineLvl w:val="0"/>
    </w:pPr>
    <w:rPr>
      <w:rFonts w:cs="Simplified Arabic"/>
    </w:rPr>
  </w:style>
  <w:style w:type="character" w:customStyle="1" w:styleId="BulletL1Char">
    <w:name w:val="Bullet L1 Char"/>
    <w:link w:val="BulletL1"/>
    <w:rPr>
      <w:rFonts w:cs="Simplified Arabic"/>
      <w:sz w:val="24"/>
      <w:szCs w:val="24"/>
      <w:lang w:val="en-GB" w:bidi="ar-AE"/>
    </w:rPr>
  </w:style>
  <w:style w:type="paragraph" w:customStyle="1" w:styleId="StandardL4">
    <w:name w:val="Standard L4"/>
    <w:basedOn w:val="Normal"/>
    <w:next w:val="BodyText3"/>
    <w:link w:val="StandardL4Char"/>
    <w:pPr>
      <w:tabs>
        <w:tab w:val="left" w:pos="2160"/>
      </w:tabs>
      <w:ind w:left="2160" w:hanging="720"/>
      <w:outlineLvl w:val="3"/>
    </w:pPr>
    <w:rPr>
      <w:rFonts w:cs="Simplified Arabic"/>
    </w:rPr>
  </w:style>
  <w:style w:type="character" w:customStyle="1" w:styleId="StandardL4Char">
    <w:name w:val="Standard L4 Char"/>
    <w:link w:val="StandardL4"/>
    <w:rPr>
      <w:rFonts w:cs="Simplified Arabic"/>
      <w:sz w:val="24"/>
      <w:szCs w:val="24"/>
      <w:lang w:val="en-GB" w:bidi="ar-AE"/>
    </w:rPr>
  </w:style>
  <w:style w:type="paragraph" w:customStyle="1" w:styleId="StandardL3">
    <w:name w:val="Standard L3"/>
    <w:basedOn w:val="Normal"/>
    <w:next w:val="BodyText2"/>
    <w:link w:val="StandardL3Char"/>
    <w:pPr>
      <w:tabs>
        <w:tab w:val="left" w:pos="1440"/>
      </w:tabs>
      <w:ind w:left="1440" w:hanging="720"/>
      <w:outlineLvl w:val="2"/>
    </w:pPr>
    <w:rPr>
      <w:rFonts w:cs="Simplified Arabic"/>
    </w:rPr>
  </w:style>
  <w:style w:type="character" w:customStyle="1" w:styleId="StandardL3Char">
    <w:name w:val="Standard L3 Char"/>
    <w:link w:val="StandardL3"/>
    <w:rPr>
      <w:rFonts w:cs="Simplified Arabic"/>
      <w:sz w:val="24"/>
      <w:szCs w:val="24"/>
      <w:lang w:val="en-GB" w:bidi="ar-AE"/>
    </w:rPr>
  </w:style>
  <w:style w:type="paragraph" w:customStyle="1" w:styleId="StandardL2">
    <w:name w:val="Standard L2"/>
    <w:basedOn w:val="Normal"/>
    <w:next w:val="BodyText1"/>
    <w:link w:val="StandardL2Char"/>
    <w:pPr>
      <w:tabs>
        <w:tab w:val="left" w:pos="720"/>
      </w:tabs>
      <w:ind w:left="720" w:hanging="720"/>
      <w:outlineLvl w:val="1"/>
    </w:pPr>
    <w:rPr>
      <w:rFonts w:cs="Simplified Arabic"/>
    </w:rPr>
  </w:style>
  <w:style w:type="character" w:customStyle="1" w:styleId="StandardL2Char">
    <w:name w:val="Standard L2 Char"/>
    <w:link w:val="StandardL2"/>
    <w:rPr>
      <w:rFonts w:cs="Simplified Arabic"/>
      <w:sz w:val="24"/>
      <w:szCs w:val="24"/>
      <w:lang w:val="en-GB" w:bidi="ar-AE"/>
    </w:rPr>
  </w:style>
  <w:style w:type="paragraph" w:customStyle="1" w:styleId="StandardL1">
    <w:name w:val="Standard L1"/>
    <w:basedOn w:val="Normal"/>
    <w:next w:val="BodyText1"/>
    <w:link w:val="StandardL1Char"/>
    <w:pPr>
      <w:keepNext/>
      <w:tabs>
        <w:tab w:val="left" w:pos="720"/>
      </w:tabs>
      <w:suppressAutoHyphens/>
      <w:ind w:left="720" w:hanging="720"/>
      <w:jc w:val="left"/>
      <w:outlineLvl w:val="0"/>
    </w:pPr>
    <w:rPr>
      <w:rFonts w:cs="Simplified Arabic"/>
      <w:b/>
      <w:caps/>
    </w:rPr>
  </w:style>
  <w:style w:type="character" w:customStyle="1" w:styleId="StandardL1Char">
    <w:name w:val="Standard L1 Char"/>
    <w:link w:val="StandardL1"/>
    <w:rPr>
      <w:rFonts w:cs="Simplified Arabic"/>
      <w:b/>
      <w:caps/>
      <w:sz w:val="24"/>
      <w:szCs w:val="24"/>
      <w:lang w:val="en-GB" w:bidi="ar-AE"/>
    </w:rPr>
  </w:style>
  <w:style w:type="paragraph" w:customStyle="1" w:styleId="Bullet1">
    <w:name w:val="Bullet 1"/>
    <w:qFormat/>
    <w:pPr>
      <w:spacing w:before="240" w:line="260" w:lineRule="atLeast"/>
      <w:jc w:val="both"/>
    </w:pPr>
    <w:rPr>
      <w:rFonts w:eastAsia="Calibri"/>
      <w:sz w:val="22"/>
      <w:szCs w:val="22"/>
      <w:lang w:val="en-GB" w:eastAsia="en-US"/>
    </w:rPr>
  </w:style>
  <w:style w:type="paragraph" w:customStyle="1" w:styleId="NormalLeft0">
    <w:name w:val="Normal + Left"/>
    <w:basedOn w:val="Bullet1"/>
    <w:pPr>
      <w:spacing w:before="0"/>
      <w:ind w:left="644" w:hanging="360"/>
    </w:pPr>
    <w:rPr>
      <w:rFonts w:eastAsia="FangSong_GB2312"/>
      <w:bCs/>
      <w:sz w:val="21"/>
      <w:szCs w:val="21"/>
    </w:rPr>
  </w:style>
  <w:style w:type="paragraph" w:styleId="Revision">
    <w:name w:val="Revision"/>
    <w:hidden/>
    <w:uiPriority w:val="99"/>
    <w:unhideWhenUsed/>
    <w:rsid w:val="004D7643"/>
    <w:rPr>
      <w:sz w:val="24"/>
      <w:szCs w:val="24"/>
      <w:lang w:val="en-GB" w:bidi="ar-A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x-cp20936"/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391</Words>
  <Characters>450</Characters>
  <Application>Microsoft Office Word</Application>
  <DocSecurity>0</DocSecurity>
  <Lines>30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2026-05-30T17:24:00Z</dcterms:created>
  <dcterms:modified xsi:type="dcterms:W3CDTF">2026-06-02T02:41:00Z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ient Code">
    <vt:lpwstr>10723820</vt:lpwstr>
  </property>
  <property fmtid="{D5CDD505-2E9C-101B-9397-08002B2CF9AE}" pid="3" name="Matter Number">
    <vt:lpwstr>L-373454</vt:lpwstr>
  </property>
  <property fmtid="{D5CDD505-2E9C-101B-9397-08002B2CF9AE}" pid="4" name="Document Number">
    <vt:lpwstr>2202886112</vt:lpwstr>
  </property>
  <property fmtid="{D5CDD505-2E9C-101B-9397-08002B2CF9AE}" pid="5" name="Linklaters.IManage.Plugin Version">
    <vt:lpwstr>9.0</vt:lpwstr>
  </property>
  <property fmtid="{D5CDD505-2E9C-101B-9397-08002B2CF9AE}" pid="6" name="Last Modified">
    <vt:lpwstr>02 Jun 2026</vt:lpwstr>
  </property>
  <property fmtid="{D5CDD505-2E9C-101B-9397-08002B2CF9AE}" pid="7" name="Version">
    <vt:lpwstr>7</vt:lpwstr>
  </property>
</Properties>
</file>