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206E2" w14:textId="77777777" w:rsidR="00505E14" w:rsidRDefault="00000000">
      <w:pPr>
        <w:spacing w:line="440" w:lineRule="exact"/>
        <w:jc w:val="center"/>
        <w:rPr>
          <w:rFonts w:ascii="黑体" w:eastAsia="黑体" w:hAnsi="Times New Roman" w:cs="Times New Roman"/>
          <w:sz w:val="36"/>
          <w:szCs w:val="36"/>
        </w:rPr>
      </w:pPr>
      <w:r>
        <w:rPr>
          <w:rFonts w:ascii="黑体" w:eastAsia="黑体" w:hAnsi="Times New Roman" w:cs="Times New Roman" w:hint="eastAsia"/>
          <w:sz w:val="36"/>
          <w:szCs w:val="36"/>
        </w:rPr>
        <w:t>经营者集中简易案件公示表</w:t>
      </w:r>
    </w:p>
    <w:tbl>
      <w:tblPr>
        <w:tblW w:w="8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96"/>
        <w:gridCol w:w="5153"/>
      </w:tblGrid>
      <w:tr w:rsidR="00505E14" w14:paraId="4ABE00BF" w14:textId="77777777">
        <w:tc>
          <w:tcPr>
            <w:tcW w:w="1809" w:type="dxa"/>
            <w:shd w:val="clear" w:color="auto" w:fill="D9D9D9"/>
            <w:vAlign w:val="center"/>
          </w:tcPr>
          <w:p w14:paraId="4F4EBB02"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案件名称</w:t>
            </w:r>
          </w:p>
        </w:tc>
        <w:tc>
          <w:tcPr>
            <w:tcW w:w="6949" w:type="dxa"/>
            <w:gridSpan w:val="2"/>
          </w:tcPr>
          <w:p w14:paraId="1A690A54" w14:textId="77777777" w:rsidR="00505E14" w:rsidRDefault="00000000">
            <w:pPr>
              <w:rPr>
                <w:rFonts w:ascii="宋体" w:eastAsia="宋体" w:hAnsi="宋体" w:cs="宋体" w:hint="eastAsia"/>
                <w:color w:val="333333"/>
                <w:kern w:val="0"/>
                <w:sz w:val="24"/>
                <w:szCs w:val="24"/>
              </w:rPr>
            </w:pPr>
            <w:r>
              <w:rPr>
                <w:rFonts w:ascii="宋体" w:eastAsia="宋体" w:hAnsi="宋体" w:cs="宋体"/>
                <w:color w:val="333333"/>
                <w:kern w:val="0"/>
                <w:sz w:val="24"/>
                <w:szCs w:val="24"/>
              </w:rPr>
              <w:t>天津友发钢管集团股份有限公司收购沧州隆泰迪管道科技有限公司股权案</w:t>
            </w:r>
          </w:p>
        </w:tc>
      </w:tr>
      <w:tr w:rsidR="00505E14" w14:paraId="0A23F406" w14:textId="77777777">
        <w:trPr>
          <w:trHeight w:val="993"/>
        </w:trPr>
        <w:tc>
          <w:tcPr>
            <w:tcW w:w="1809" w:type="dxa"/>
            <w:shd w:val="clear" w:color="auto" w:fill="D9D9D9"/>
            <w:vAlign w:val="center"/>
          </w:tcPr>
          <w:p w14:paraId="762F7D1E"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交易概况</w:t>
            </w:r>
          </w:p>
          <w:p w14:paraId="16DFF105"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（限200字内）</w:t>
            </w:r>
          </w:p>
        </w:tc>
        <w:tc>
          <w:tcPr>
            <w:tcW w:w="6949" w:type="dxa"/>
            <w:gridSpan w:val="2"/>
          </w:tcPr>
          <w:p w14:paraId="282E0FE1" w14:textId="77777777" w:rsidR="00505E14" w:rsidRDefault="00000000">
            <w:pPr>
              <w:rPr>
                <w:rFonts w:ascii="宋体" w:eastAsia="宋体" w:hAnsi="宋体" w:cs="宋体" w:hint="eastAsia"/>
                <w:color w:val="333333"/>
                <w:kern w:val="0"/>
                <w:sz w:val="24"/>
                <w:szCs w:val="24"/>
              </w:rPr>
            </w:pPr>
            <w:r>
              <w:rPr>
                <w:rFonts w:ascii="宋体" w:eastAsia="宋体" w:hAnsi="宋体" w:cs="宋体"/>
                <w:color w:val="333333"/>
                <w:kern w:val="0"/>
                <w:sz w:val="24"/>
                <w:szCs w:val="24"/>
              </w:rPr>
              <w:t>天津友发钢管集团股份有限公司</w:t>
            </w:r>
            <w:r>
              <w:rPr>
                <w:rFonts w:ascii="宋体" w:eastAsia="宋体" w:hAnsi="宋体" w:cs="宋体" w:hint="eastAsia"/>
                <w:color w:val="333333"/>
                <w:kern w:val="0"/>
                <w:sz w:val="24"/>
                <w:szCs w:val="24"/>
              </w:rPr>
              <w:t>（“友发集团”）与王春建等签署协议，友发集团拟收购</w:t>
            </w:r>
            <w:r>
              <w:rPr>
                <w:rFonts w:ascii="宋体" w:eastAsia="宋体" w:hAnsi="宋体" w:cs="宋体"/>
                <w:color w:val="333333"/>
                <w:kern w:val="0"/>
                <w:sz w:val="24"/>
                <w:szCs w:val="24"/>
              </w:rPr>
              <w:t>沧州隆泰迪管道科技有限公司</w:t>
            </w:r>
            <w:r>
              <w:rPr>
                <w:rFonts w:ascii="宋体" w:eastAsia="宋体" w:hAnsi="宋体" w:cs="宋体" w:hint="eastAsia"/>
                <w:color w:val="333333"/>
                <w:kern w:val="0"/>
                <w:sz w:val="24"/>
                <w:szCs w:val="24"/>
              </w:rPr>
              <w:t>（“隆泰迪”）53%股权。隆泰迪主要从事</w:t>
            </w:r>
            <w:r>
              <w:rPr>
                <w:rFonts w:ascii="宋体" w:eastAsia="宋体" w:hAnsi="宋体" w:cs="宋体"/>
                <w:color w:val="333333"/>
                <w:kern w:val="0"/>
                <w:sz w:val="24"/>
                <w:szCs w:val="24"/>
              </w:rPr>
              <w:t>双金属复合钢管、管件的研发、生产及销售</w:t>
            </w:r>
            <w:r>
              <w:rPr>
                <w:rFonts w:ascii="宋体" w:eastAsia="宋体" w:hAnsi="宋体" w:cs="宋体" w:hint="eastAsia"/>
                <w:color w:val="333333"/>
                <w:kern w:val="0"/>
                <w:sz w:val="24"/>
                <w:szCs w:val="24"/>
              </w:rPr>
              <w:t>。交易前，王春建持有隆泰迪66.14%股权并单独控制隆泰迪。交易后，友发集团和王春建将分别持有隆泰迪53%和33%股权并共同控制隆泰迪。</w:t>
            </w:r>
          </w:p>
        </w:tc>
      </w:tr>
      <w:tr w:rsidR="00505E14" w14:paraId="6463FF91" w14:textId="77777777">
        <w:trPr>
          <w:trHeight w:val="698"/>
        </w:trPr>
        <w:tc>
          <w:tcPr>
            <w:tcW w:w="1809" w:type="dxa"/>
            <w:vMerge w:val="restart"/>
            <w:shd w:val="clear" w:color="auto" w:fill="D9D9D9"/>
            <w:vAlign w:val="center"/>
          </w:tcPr>
          <w:p w14:paraId="20553005"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参与集中的经营者简介（每个限100字以内）</w:t>
            </w:r>
          </w:p>
        </w:tc>
        <w:tc>
          <w:tcPr>
            <w:tcW w:w="1796" w:type="dxa"/>
          </w:tcPr>
          <w:p w14:paraId="7F1FFF3D"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1、友发集团</w:t>
            </w:r>
          </w:p>
        </w:tc>
        <w:tc>
          <w:tcPr>
            <w:tcW w:w="5153" w:type="dxa"/>
          </w:tcPr>
          <w:p w14:paraId="098FB5AF"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友发集团于2011年12月26日成立于天津市，为上海</w:t>
            </w:r>
            <w:r>
              <w:rPr>
                <w:rFonts w:ascii="宋体" w:eastAsia="宋体" w:hAnsi="宋体" w:cs="宋体"/>
                <w:color w:val="333333"/>
                <w:kern w:val="0"/>
                <w:sz w:val="24"/>
                <w:szCs w:val="24"/>
              </w:rPr>
              <w:t>证券交易所上市公司，</w:t>
            </w:r>
            <w:r>
              <w:rPr>
                <w:rFonts w:ascii="宋体" w:eastAsia="宋体" w:hAnsi="宋体" w:cs="宋体" w:hint="eastAsia"/>
                <w:color w:val="333333"/>
                <w:kern w:val="0"/>
                <w:sz w:val="24"/>
                <w:szCs w:val="24"/>
              </w:rPr>
              <w:t>主要业务为焊接钢管。</w:t>
            </w:r>
          </w:p>
          <w:p w14:paraId="6939AB0D"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友发集团最终控制人为中国籍自然人，通过其控制的公司主要从事焊接钢管业务。</w:t>
            </w:r>
          </w:p>
        </w:tc>
      </w:tr>
      <w:tr w:rsidR="00505E14" w14:paraId="6D6F2EC8" w14:textId="77777777">
        <w:trPr>
          <w:trHeight w:val="404"/>
        </w:trPr>
        <w:tc>
          <w:tcPr>
            <w:tcW w:w="1809" w:type="dxa"/>
            <w:vMerge/>
            <w:shd w:val="clear" w:color="auto" w:fill="D9D9D9"/>
            <w:vAlign w:val="center"/>
          </w:tcPr>
          <w:p w14:paraId="6B504274" w14:textId="77777777" w:rsidR="00505E14" w:rsidRDefault="00505E14">
            <w:pPr>
              <w:jc w:val="center"/>
              <w:rPr>
                <w:rFonts w:ascii="宋体" w:eastAsia="宋体" w:hAnsi="宋体" w:cs="宋体" w:hint="eastAsia"/>
                <w:color w:val="333333"/>
                <w:kern w:val="0"/>
                <w:sz w:val="24"/>
                <w:szCs w:val="24"/>
              </w:rPr>
            </w:pPr>
          </w:p>
        </w:tc>
        <w:tc>
          <w:tcPr>
            <w:tcW w:w="1796" w:type="dxa"/>
          </w:tcPr>
          <w:p w14:paraId="011241BF"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2、王春建</w:t>
            </w:r>
          </w:p>
        </w:tc>
        <w:tc>
          <w:tcPr>
            <w:tcW w:w="5153" w:type="dxa"/>
          </w:tcPr>
          <w:p w14:paraId="3470FB8D"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王春建主要通过其控制的公司</w:t>
            </w:r>
            <w:r>
              <w:rPr>
                <w:rFonts w:ascii="宋体" w:eastAsia="宋体" w:hAnsi="宋体" w:cs="宋体"/>
                <w:color w:val="333333"/>
                <w:kern w:val="0"/>
                <w:sz w:val="24"/>
                <w:szCs w:val="24"/>
              </w:rPr>
              <w:t>隆泰迪</w:t>
            </w:r>
            <w:r>
              <w:rPr>
                <w:rFonts w:ascii="宋体" w:eastAsia="宋体" w:hAnsi="宋体" w:cs="宋体" w:hint="eastAsia"/>
                <w:color w:val="333333"/>
                <w:kern w:val="0"/>
                <w:sz w:val="24"/>
                <w:szCs w:val="24"/>
              </w:rPr>
              <w:t>从事</w:t>
            </w:r>
            <w:r>
              <w:rPr>
                <w:rFonts w:ascii="宋体" w:eastAsia="宋体" w:hAnsi="宋体" w:cs="宋体"/>
                <w:color w:val="333333"/>
                <w:kern w:val="0"/>
                <w:sz w:val="24"/>
                <w:szCs w:val="24"/>
              </w:rPr>
              <w:t>双金属复合钢管、管件的研发、生产及销售</w:t>
            </w:r>
            <w:r>
              <w:rPr>
                <w:rFonts w:ascii="宋体" w:eastAsia="宋体" w:hAnsi="宋体" w:cs="宋体" w:hint="eastAsia"/>
                <w:color w:val="333333"/>
                <w:kern w:val="0"/>
                <w:sz w:val="24"/>
                <w:szCs w:val="24"/>
              </w:rPr>
              <w:t>。</w:t>
            </w:r>
          </w:p>
        </w:tc>
      </w:tr>
      <w:tr w:rsidR="00505E14" w14:paraId="2C6A18B6" w14:textId="77777777">
        <w:trPr>
          <w:trHeight w:val="279"/>
        </w:trPr>
        <w:tc>
          <w:tcPr>
            <w:tcW w:w="1809" w:type="dxa"/>
            <w:vMerge w:val="restart"/>
            <w:shd w:val="clear" w:color="auto" w:fill="D9D9D9"/>
            <w:vAlign w:val="center"/>
          </w:tcPr>
          <w:p w14:paraId="5D629CD6"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简易案件理由（可以单选，也可以多选）</w:t>
            </w:r>
          </w:p>
        </w:tc>
        <w:tc>
          <w:tcPr>
            <w:tcW w:w="6949" w:type="dxa"/>
            <w:gridSpan w:val="2"/>
          </w:tcPr>
          <w:p w14:paraId="2B27AED0"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□1.在同一相关市场，所有参与集中的经营者所占市场份额之和小于15%。</w:t>
            </w:r>
          </w:p>
        </w:tc>
      </w:tr>
      <w:tr w:rsidR="00505E14" w14:paraId="0588CEE2" w14:textId="77777777">
        <w:trPr>
          <w:trHeight w:val="330"/>
        </w:trPr>
        <w:tc>
          <w:tcPr>
            <w:tcW w:w="1809" w:type="dxa"/>
            <w:vMerge/>
            <w:shd w:val="clear" w:color="auto" w:fill="D9D9D9"/>
            <w:vAlign w:val="center"/>
          </w:tcPr>
          <w:p w14:paraId="7D42CBF7" w14:textId="77777777" w:rsidR="00505E14" w:rsidRDefault="00505E14">
            <w:pPr>
              <w:jc w:val="center"/>
              <w:rPr>
                <w:rFonts w:ascii="宋体" w:eastAsia="宋体" w:hAnsi="宋体" w:cs="宋体" w:hint="eastAsia"/>
                <w:color w:val="333333"/>
                <w:kern w:val="0"/>
                <w:sz w:val="24"/>
                <w:szCs w:val="24"/>
              </w:rPr>
            </w:pPr>
          </w:p>
        </w:tc>
        <w:tc>
          <w:tcPr>
            <w:tcW w:w="6949" w:type="dxa"/>
            <w:gridSpan w:val="2"/>
          </w:tcPr>
          <w:p w14:paraId="0697B85F"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sym w:font="Wingdings 2" w:char="F052"/>
            </w:r>
            <w:r>
              <w:rPr>
                <w:rFonts w:ascii="宋体" w:eastAsia="宋体" w:hAnsi="宋体" w:cs="宋体" w:hint="eastAsia"/>
                <w:color w:val="333333"/>
                <w:kern w:val="0"/>
                <w:sz w:val="24"/>
                <w:szCs w:val="24"/>
              </w:rPr>
              <w:t>2.在上下游市场，参与集中的经营者所占的市场份额均小于25%。</w:t>
            </w:r>
          </w:p>
        </w:tc>
      </w:tr>
      <w:tr w:rsidR="00505E14" w14:paraId="2F0A9E46" w14:textId="77777777">
        <w:trPr>
          <w:trHeight w:val="285"/>
        </w:trPr>
        <w:tc>
          <w:tcPr>
            <w:tcW w:w="1809" w:type="dxa"/>
            <w:vMerge/>
            <w:shd w:val="clear" w:color="auto" w:fill="D9D9D9"/>
            <w:vAlign w:val="center"/>
          </w:tcPr>
          <w:p w14:paraId="6C757AAE" w14:textId="77777777" w:rsidR="00505E14" w:rsidRDefault="00505E14">
            <w:pPr>
              <w:jc w:val="center"/>
              <w:rPr>
                <w:rFonts w:ascii="宋体" w:eastAsia="宋体" w:hAnsi="宋体" w:cs="宋体" w:hint="eastAsia"/>
                <w:color w:val="333333"/>
                <w:kern w:val="0"/>
                <w:sz w:val="24"/>
                <w:szCs w:val="24"/>
              </w:rPr>
            </w:pPr>
          </w:p>
        </w:tc>
        <w:tc>
          <w:tcPr>
            <w:tcW w:w="6949" w:type="dxa"/>
            <w:gridSpan w:val="2"/>
          </w:tcPr>
          <w:p w14:paraId="71F06975"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□3.不在同一相关市场也不存在上下游关系的参与集中的经营者，在与交易有关的每个市场所占的市场份额均小于25%。</w:t>
            </w:r>
          </w:p>
        </w:tc>
      </w:tr>
      <w:tr w:rsidR="00505E14" w14:paraId="0824E843" w14:textId="77777777">
        <w:trPr>
          <w:trHeight w:val="870"/>
        </w:trPr>
        <w:tc>
          <w:tcPr>
            <w:tcW w:w="1809" w:type="dxa"/>
            <w:vMerge/>
            <w:shd w:val="clear" w:color="auto" w:fill="D9D9D9"/>
            <w:vAlign w:val="center"/>
          </w:tcPr>
          <w:p w14:paraId="4566A524" w14:textId="77777777" w:rsidR="00505E14" w:rsidRDefault="00505E14">
            <w:pPr>
              <w:jc w:val="center"/>
              <w:rPr>
                <w:rFonts w:ascii="宋体" w:eastAsia="宋体" w:hAnsi="宋体" w:cs="宋体" w:hint="eastAsia"/>
                <w:color w:val="333333"/>
                <w:kern w:val="0"/>
                <w:sz w:val="24"/>
                <w:szCs w:val="24"/>
              </w:rPr>
            </w:pPr>
          </w:p>
        </w:tc>
        <w:tc>
          <w:tcPr>
            <w:tcW w:w="6949" w:type="dxa"/>
            <w:gridSpan w:val="2"/>
          </w:tcPr>
          <w:p w14:paraId="0DDA3B62"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□4.参与集中的经营者在中国境外设立合营企业，合营企业不在中国境内从事经济活动。</w:t>
            </w:r>
          </w:p>
        </w:tc>
      </w:tr>
      <w:tr w:rsidR="00505E14" w14:paraId="29BDB203" w14:textId="77777777">
        <w:trPr>
          <w:trHeight w:val="264"/>
        </w:trPr>
        <w:tc>
          <w:tcPr>
            <w:tcW w:w="1809" w:type="dxa"/>
            <w:vMerge/>
            <w:shd w:val="clear" w:color="auto" w:fill="D9D9D9"/>
            <w:vAlign w:val="center"/>
          </w:tcPr>
          <w:p w14:paraId="0AEEF4A9" w14:textId="77777777" w:rsidR="00505E14" w:rsidRDefault="00505E14">
            <w:pPr>
              <w:jc w:val="center"/>
              <w:rPr>
                <w:rFonts w:ascii="宋体" w:eastAsia="宋体" w:hAnsi="宋体" w:cs="宋体" w:hint="eastAsia"/>
                <w:color w:val="333333"/>
                <w:kern w:val="0"/>
                <w:sz w:val="24"/>
                <w:szCs w:val="24"/>
              </w:rPr>
            </w:pPr>
          </w:p>
        </w:tc>
        <w:tc>
          <w:tcPr>
            <w:tcW w:w="6949" w:type="dxa"/>
            <w:gridSpan w:val="2"/>
          </w:tcPr>
          <w:p w14:paraId="0C2CB237"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□5.参与集中的经营者收购境外企业股权或资产的，该境外企业不在中国境内从事经济活动。</w:t>
            </w:r>
          </w:p>
        </w:tc>
      </w:tr>
      <w:tr w:rsidR="00505E14" w14:paraId="467DFA11" w14:textId="77777777">
        <w:trPr>
          <w:trHeight w:val="345"/>
        </w:trPr>
        <w:tc>
          <w:tcPr>
            <w:tcW w:w="1809" w:type="dxa"/>
            <w:vMerge/>
            <w:shd w:val="clear" w:color="auto" w:fill="D9D9D9"/>
            <w:vAlign w:val="center"/>
          </w:tcPr>
          <w:p w14:paraId="6D62E23F" w14:textId="77777777" w:rsidR="00505E14" w:rsidRDefault="00505E14">
            <w:pPr>
              <w:jc w:val="center"/>
              <w:rPr>
                <w:rFonts w:ascii="宋体" w:eastAsia="宋体" w:hAnsi="宋体" w:cs="宋体" w:hint="eastAsia"/>
                <w:color w:val="333333"/>
                <w:kern w:val="0"/>
                <w:sz w:val="24"/>
                <w:szCs w:val="24"/>
              </w:rPr>
            </w:pPr>
          </w:p>
        </w:tc>
        <w:tc>
          <w:tcPr>
            <w:tcW w:w="6949" w:type="dxa"/>
            <w:gridSpan w:val="2"/>
          </w:tcPr>
          <w:p w14:paraId="058E7DD5"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□6.由两个以上的经营者共同控制的合营企业，通过集中被其中一个或一个以上经营者控制。</w:t>
            </w:r>
          </w:p>
        </w:tc>
      </w:tr>
      <w:tr w:rsidR="00505E14" w14:paraId="13EF1D86" w14:textId="77777777">
        <w:tc>
          <w:tcPr>
            <w:tcW w:w="1809" w:type="dxa"/>
            <w:shd w:val="clear" w:color="auto" w:fill="D9D9D9"/>
            <w:vAlign w:val="center"/>
          </w:tcPr>
          <w:p w14:paraId="69EF4606" w14:textId="77777777" w:rsidR="00505E14" w:rsidRDefault="00000000">
            <w:pPr>
              <w:jc w:val="cente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备注</w:t>
            </w:r>
          </w:p>
        </w:tc>
        <w:tc>
          <w:tcPr>
            <w:tcW w:w="6949" w:type="dxa"/>
            <w:gridSpan w:val="2"/>
          </w:tcPr>
          <w:p w14:paraId="1B5E4AF2" w14:textId="77777777" w:rsidR="00505E14" w:rsidRDefault="00000000">
            <w:pPr>
              <w:rPr>
                <w:rFonts w:ascii="宋体" w:eastAsia="宋体" w:hAnsi="宋体" w:cs="宋体" w:hint="eastAsia"/>
                <w:b/>
                <w:bCs/>
                <w:color w:val="333333"/>
                <w:kern w:val="0"/>
                <w:sz w:val="24"/>
                <w:szCs w:val="24"/>
              </w:rPr>
            </w:pPr>
            <w:r>
              <w:rPr>
                <w:rFonts w:ascii="宋体" w:eastAsia="宋体" w:hAnsi="宋体" w:cs="宋体" w:hint="eastAsia"/>
                <w:b/>
                <w:bCs/>
                <w:color w:val="333333"/>
                <w:kern w:val="0"/>
                <w:sz w:val="24"/>
                <w:szCs w:val="24"/>
              </w:rPr>
              <w:t>纵向关联：</w:t>
            </w:r>
          </w:p>
          <w:p w14:paraId="0B6DD592" w14:textId="77777777" w:rsidR="00505E14" w:rsidRDefault="00000000">
            <w:pPr>
              <w:rPr>
                <w:rFonts w:ascii="宋体" w:eastAsia="宋体" w:hAnsi="宋体" w:cs="宋体" w:hint="eastAsia"/>
                <w:color w:val="EE0000"/>
                <w:kern w:val="0"/>
                <w:sz w:val="24"/>
                <w:szCs w:val="24"/>
              </w:rPr>
            </w:pPr>
            <w:r>
              <w:rPr>
                <w:rFonts w:ascii="宋体" w:eastAsia="宋体" w:hAnsi="宋体" w:cs="宋体" w:hint="eastAsia"/>
                <w:color w:val="333333"/>
                <w:kern w:val="0"/>
                <w:sz w:val="24"/>
                <w:szCs w:val="24"/>
              </w:rPr>
              <w:t>上游：</w:t>
            </w:r>
            <w:r>
              <w:rPr>
                <w:rFonts w:ascii="宋体" w:eastAsia="宋体" w:hAnsi="宋体" w:cs="宋体" w:hint="eastAsia"/>
                <w:kern w:val="0"/>
                <w:sz w:val="24"/>
                <w:szCs w:val="24"/>
              </w:rPr>
              <w:t>2025年中国境内焊接钢管市场：</w:t>
            </w:r>
          </w:p>
          <w:p w14:paraId="0FA70999" w14:textId="77777777" w:rsidR="00505E14" w:rsidRDefault="00000000">
            <w:pPr>
              <w:rPr>
                <w:rFonts w:ascii="Times New Roman" w:eastAsia="宋体" w:hAnsi="Times New Roman" w:cs="Times New Roman"/>
                <w:color w:val="333333"/>
                <w:kern w:val="0"/>
                <w:sz w:val="24"/>
                <w:szCs w:val="24"/>
              </w:rPr>
            </w:pPr>
            <w:r>
              <w:rPr>
                <w:rFonts w:ascii="宋体" w:eastAsia="宋体" w:hAnsi="宋体" w:cs="宋体" w:hint="eastAsia"/>
                <w:color w:val="333333"/>
                <w:kern w:val="0"/>
                <w:sz w:val="24"/>
                <w:szCs w:val="24"/>
              </w:rPr>
              <w:t>友发集团：</w:t>
            </w:r>
            <w:r>
              <w:rPr>
                <w:rFonts w:ascii="Times New Roman" w:eastAsia="宋体" w:hAnsi="Times New Roman" w:cs="Times New Roman"/>
                <w:color w:val="333333"/>
                <w:kern w:val="0"/>
                <w:sz w:val="24"/>
                <w:szCs w:val="24"/>
              </w:rPr>
              <w:t>20-25%</w:t>
            </w:r>
          </w:p>
          <w:p w14:paraId="1627F7F8" w14:textId="77777777"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lastRenderedPageBreak/>
              <w:t>下游：2025年中国境内双金属复合钢管市场：</w:t>
            </w:r>
          </w:p>
          <w:p w14:paraId="1660A037" w14:textId="0B35B2BD" w:rsidR="00505E14" w:rsidRDefault="00000000">
            <w:pPr>
              <w:rPr>
                <w:rFonts w:ascii="宋体" w:eastAsia="宋体" w:hAnsi="宋体" w:cs="宋体" w:hint="eastAsia"/>
                <w:color w:val="333333"/>
                <w:kern w:val="0"/>
                <w:sz w:val="24"/>
                <w:szCs w:val="24"/>
              </w:rPr>
            </w:pPr>
            <w:r>
              <w:rPr>
                <w:rFonts w:ascii="宋体" w:eastAsia="宋体" w:hAnsi="宋体" w:cs="宋体" w:hint="eastAsia"/>
                <w:color w:val="333333"/>
                <w:kern w:val="0"/>
                <w:sz w:val="24"/>
                <w:szCs w:val="24"/>
              </w:rPr>
              <w:t>王春建：</w:t>
            </w:r>
            <w:r w:rsidR="00535BEC" w:rsidRPr="00535BEC">
              <w:rPr>
                <w:rFonts w:ascii="Times New Roman" w:eastAsia="宋体" w:hAnsi="Times New Roman" w:cs="Times New Roman"/>
                <w:color w:val="333333"/>
                <w:kern w:val="0"/>
                <w:sz w:val="24"/>
                <w:szCs w:val="24"/>
              </w:rPr>
              <w:t>5-10</w:t>
            </w:r>
            <w:r w:rsidRPr="00535BEC">
              <w:rPr>
                <w:rFonts w:ascii="Times New Roman" w:eastAsia="宋体" w:hAnsi="Times New Roman" w:cs="Times New Roman"/>
                <w:color w:val="333333"/>
                <w:kern w:val="0"/>
                <w:sz w:val="24"/>
                <w:szCs w:val="24"/>
              </w:rPr>
              <w:t>%</w:t>
            </w:r>
          </w:p>
        </w:tc>
      </w:tr>
    </w:tbl>
    <w:p w14:paraId="574C525A" w14:textId="77777777" w:rsidR="00505E14" w:rsidRDefault="00505E14">
      <w:pPr>
        <w:snapToGrid w:val="0"/>
        <w:spacing w:line="240" w:lineRule="exact"/>
        <w:jc w:val="left"/>
        <w:rPr>
          <w:rFonts w:ascii="楷体_GB2312" w:eastAsia="楷体_GB2312" w:hAnsi="宋体" w:cs="Times New Roman" w:hint="eastAsia"/>
          <w:sz w:val="24"/>
          <w:szCs w:val="24"/>
        </w:rPr>
      </w:pPr>
    </w:p>
    <w:p w14:paraId="26003B23" w14:textId="77777777" w:rsidR="00505E14" w:rsidRDefault="00505E14">
      <w:pPr>
        <w:rPr>
          <w:rFonts w:hint="eastAsia"/>
        </w:rPr>
      </w:pPr>
    </w:p>
    <w:sectPr w:rsidR="00505E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楷体_GB2312">
    <w:altName w:val="楷体"/>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009"/>
    <w:rsid w:val="00013F66"/>
    <w:rsid w:val="0005616E"/>
    <w:rsid w:val="00064708"/>
    <w:rsid w:val="00082B21"/>
    <w:rsid w:val="000C0EE9"/>
    <w:rsid w:val="001143C5"/>
    <w:rsid w:val="00192DBA"/>
    <w:rsid w:val="001A3D9F"/>
    <w:rsid w:val="001D0226"/>
    <w:rsid w:val="001F2CA5"/>
    <w:rsid w:val="0020434D"/>
    <w:rsid w:val="00250D1B"/>
    <w:rsid w:val="002C1D00"/>
    <w:rsid w:val="002E4AFA"/>
    <w:rsid w:val="00313D03"/>
    <w:rsid w:val="003C1922"/>
    <w:rsid w:val="003C3009"/>
    <w:rsid w:val="00402AD2"/>
    <w:rsid w:val="00402F4C"/>
    <w:rsid w:val="0042122C"/>
    <w:rsid w:val="004427CD"/>
    <w:rsid w:val="004464B3"/>
    <w:rsid w:val="00464955"/>
    <w:rsid w:val="004C641A"/>
    <w:rsid w:val="004C6B6B"/>
    <w:rsid w:val="00505E14"/>
    <w:rsid w:val="00535BEC"/>
    <w:rsid w:val="00560AFD"/>
    <w:rsid w:val="00573868"/>
    <w:rsid w:val="005A3970"/>
    <w:rsid w:val="005F2F02"/>
    <w:rsid w:val="00615869"/>
    <w:rsid w:val="00621698"/>
    <w:rsid w:val="00631BEF"/>
    <w:rsid w:val="00664C61"/>
    <w:rsid w:val="006F3E8F"/>
    <w:rsid w:val="006F46F2"/>
    <w:rsid w:val="007009B9"/>
    <w:rsid w:val="00704C9D"/>
    <w:rsid w:val="00726874"/>
    <w:rsid w:val="00757B36"/>
    <w:rsid w:val="00783D8C"/>
    <w:rsid w:val="007A591D"/>
    <w:rsid w:val="007B68E3"/>
    <w:rsid w:val="007C59DF"/>
    <w:rsid w:val="007E6309"/>
    <w:rsid w:val="007F077B"/>
    <w:rsid w:val="007F4236"/>
    <w:rsid w:val="00845E78"/>
    <w:rsid w:val="00853B48"/>
    <w:rsid w:val="008C07D3"/>
    <w:rsid w:val="00930FB4"/>
    <w:rsid w:val="00951BAF"/>
    <w:rsid w:val="00985960"/>
    <w:rsid w:val="009B2E21"/>
    <w:rsid w:val="00A3666A"/>
    <w:rsid w:val="00A63A70"/>
    <w:rsid w:val="00A756BD"/>
    <w:rsid w:val="00AE1CB8"/>
    <w:rsid w:val="00AF22B7"/>
    <w:rsid w:val="00B067E7"/>
    <w:rsid w:val="00B4201A"/>
    <w:rsid w:val="00B6725D"/>
    <w:rsid w:val="00BD148F"/>
    <w:rsid w:val="00BF3680"/>
    <w:rsid w:val="00C2060C"/>
    <w:rsid w:val="00C508CD"/>
    <w:rsid w:val="00C70DA0"/>
    <w:rsid w:val="00C71FDB"/>
    <w:rsid w:val="00C97019"/>
    <w:rsid w:val="00CC3C0C"/>
    <w:rsid w:val="00CC794C"/>
    <w:rsid w:val="00CF61A5"/>
    <w:rsid w:val="00CF6579"/>
    <w:rsid w:val="00D362A1"/>
    <w:rsid w:val="00D42BAA"/>
    <w:rsid w:val="00D5548D"/>
    <w:rsid w:val="00D60EB9"/>
    <w:rsid w:val="00D72309"/>
    <w:rsid w:val="00D816B6"/>
    <w:rsid w:val="00D91581"/>
    <w:rsid w:val="00DA0C38"/>
    <w:rsid w:val="00DF4292"/>
    <w:rsid w:val="00DF5DDB"/>
    <w:rsid w:val="00E16E7E"/>
    <w:rsid w:val="00E228C2"/>
    <w:rsid w:val="00E7587E"/>
    <w:rsid w:val="00EC35B6"/>
    <w:rsid w:val="00EF648E"/>
    <w:rsid w:val="00F0005A"/>
    <w:rsid w:val="00F25133"/>
    <w:rsid w:val="00F2778C"/>
    <w:rsid w:val="00F71781"/>
    <w:rsid w:val="00FB0E6F"/>
    <w:rsid w:val="00FE6122"/>
    <w:rsid w:val="37ADE9EB"/>
    <w:rsid w:val="3FAF3EC6"/>
    <w:rsid w:val="4EC811A6"/>
    <w:rsid w:val="5FF71E24"/>
    <w:rsid w:val="5FFD1317"/>
    <w:rsid w:val="6EEB0D51"/>
    <w:rsid w:val="773B37F3"/>
    <w:rsid w:val="7BFA0F0B"/>
    <w:rsid w:val="7F772825"/>
    <w:rsid w:val="7FF7928E"/>
    <w:rsid w:val="B7E6F2D4"/>
    <w:rsid w:val="BBF16C97"/>
    <w:rsid w:val="CBFB2E36"/>
    <w:rsid w:val="D7E86233"/>
    <w:rsid w:val="DDF2F594"/>
    <w:rsid w:val="DF7FE16F"/>
    <w:rsid w:val="EBEE4B78"/>
    <w:rsid w:val="F3C3B966"/>
    <w:rsid w:val="FEDEB3DB"/>
    <w:rsid w:val="FFAC00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0A58B"/>
  <w15:docId w15:val="{88526618-14B6-4D8F-ABA2-D110F0FA8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tabs>
        <w:tab w:val="center" w:pos="4153"/>
        <w:tab w:val="right" w:pos="8306"/>
      </w:tabs>
      <w:snapToGrid w:val="0"/>
      <w:jc w:val="center"/>
    </w:pPr>
    <w:rPr>
      <w:sz w:val="18"/>
      <w:szCs w:val="18"/>
    </w:rPr>
  </w:style>
  <w:style w:type="paragraph" w:styleId="a7">
    <w:name w:val="Subtitle"/>
    <w:basedOn w:val="a"/>
    <w:next w:val="a"/>
    <w:link w:val="a8"/>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9">
    <w:name w:val="Title"/>
    <w:basedOn w:val="a"/>
    <w:next w:val="a"/>
    <w:link w:val="aa"/>
    <w:uiPriority w:val="10"/>
    <w:qFormat/>
    <w:pPr>
      <w:spacing w:after="80"/>
      <w:contextualSpacing/>
      <w:jc w:val="center"/>
    </w:pPr>
    <w:rPr>
      <w:rFonts w:asciiTheme="majorHAnsi" w:eastAsiaTheme="majorEastAsia" w:hAnsiTheme="majorHAnsi" w:cstheme="majorBidi"/>
      <w:spacing w:val="-10"/>
      <w:kern w:val="28"/>
      <w:sz w:val="56"/>
      <w:szCs w:val="56"/>
    </w:rPr>
  </w:style>
  <w:style w:type="table" w:styleId="ab">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仿宋三号"/>
    <w:basedOn w:val="a"/>
    <w:link w:val="ad"/>
    <w:qFormat/>
    <w:pPr>
      <w:spacing w:line="360" w:lineRule="auto"/>
      <w:ind w:firstLineChars="200" w:firstLine="200"/>
    </w:pPr>
    <w:rPr>
      <w:rFonts w:ascii="Times New Roman" w:eastAsia="仿宋" w:hAnsi="Times New Roman" w:cs="宋体"/>
      <w:sz w:val="32"/>
      <w:szCs w:val="24"/>
    </w:rPr>
  </w:style>
  <w:style w:type="character" w:customStyle="1" w:styleId="ad">
    <w:name w:val="仿宋三号 字符"/>
    <w:basedOn w:val="a0"/>
    <w:link w:val="ac"/>
    <w:qFormat/>
    <w:rPr>
      <w:rFonts w:ascii="Times New Roman" w:eastAsia="仿宋" w:hAnsi="Times New Roman" w:cs="宋体"/>
      <w:sz w:val="32"/>
      <w:szCs w:val="24"/>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szCs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a">
    <w:name w:val="标题 字符"/>
    <w:basedOn w:val="a0"/>
    <w:link w:val="a9"/>
    <w:uiPriority w:val="10"/>
    <w:qFormat/>
    <w:rPr>
      <w:rFonts w:asciiTheme="majorHAnsi" w:eastAsiaTheme="majorEastAsia" w:hAnsiTheme="majorHAnsi" w:cstheme="majorBidi"/>
      <w:spacing w:val="-10"/>
      <w:kern w:val="28"/>
      <w:sz w:val="56"/>
      <w:szCs w:val="56"/>
    </w:rPr>
  </w:style>
  <w:style w:type="character" w:customStyle="1" w:styleId="a8">
    <w:name w:val="副标题 字符"/>
    <w:basedOn w:val="a0"/>
    <w:link w:val="a7"/>
    <w:uiPriority w:val="11"/>
    <w:qFormat/>
    <w:rPr>
      <w:rFonts w:asciiTheme="majorHAnsi" w:eastAsiaTheme="majorEastAsia" w:hAnsiTheme="majorHAnsi" w:cstheme="majorBidi"/>
      <w:color w:val="595959" w:themeColor="text1" w:themeTint="A6"/>
      <w:spacing w:val="15"/>
      <w:sz w:val="28"/>
      <w:szCs w:val="28"/>
    </w:rPr>
  </w:style>
  <w:style w:type="paragraph" w:styleId="ae">
    <w:name w:val="Quote"/>
    <w:basedOn w:val="a"/>
    <w:next w:val="a"/>
    <w:link w:val="af"/>
    <w:uiPriority w:val="29"/>
    <w:qFormat/>
    <w:pPr>
      <w:spacing w:before="160"/>
      <w:jc w:val="center"/>
    </w:pPr>
    <w:rPr>
      <w:i/>
      <w:iCs/>
      <w:color w:val="404040" w:themeColor="text1" w:themeTint="BF"/>
    </w:rPr>
  </w:style>
  <w:style w:type="character" w:customStyle="1" w:styleId="af">
    <w:name w:val="引用 字符"/>
    <w:basedOn w:val="a0"/>
    <w:link w:val="ae"/>
    <w:uiPriority w:val="29"/>
    <w:qFormat/>
    <w:rPr>
      <w:i/>
      <w:iCs/>
      <w:color w:val="404040" w:themeColor="text1" w:themeTint="BF"/>
    </w:rPr>
  </w:style>
  <w:style w:type="paragraph" w:styleId="af0">
    <w:name w:val="List Paragraph"/>
    <w:basedOn w:val="a"/>
    <w:uiPriority w:val="34"/>
    <w:qFormat/>
    <w:pPr>
      <w:ind w:left="720"/>
      <w:contextualSpacing/>
    </w:pPr>
  </w:style>
  <w:style w:type="character" w:customStyle="1" w:styleId="11">
    <w:name w:val="明显强调1"/>
    <w:basedOn w:val="a0"/>
    <w:uiPriority w:val="21"/>
    <w:qFormat/>
    <w:rPr>
      <w:i/>
      <w:iCs/>
      <w:color w:val="0F4761" w:themeColor="accent1" w:themeShade="BF"/>
    </w:rPr>
  </w:style>
  <w:style w:type="paragraph" w:styleId="af1">
    <w:name w:val="Intense Quote"/>
    <w:basedOn w:val="a"/>
    <w:next w:val="a"/>
    <w:link w:val="af2"/>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f2">
    <w:name w:val="明显引用 字符"/>
    <w:basedOn w:val="a0"/>
    <w:link w:val="af1"/>
    <w:uiPriority w:val="30"/>
    <w:qFormat/>
    <w:rPr>
      <w:i/>
      <w:iCs/>
      <w:color w:val="0F4761" w:themeColor="accent1" w:themeShade="BF"/>
    </w:rPr>
  </w:style>
  <w:style w:type="character" w:customStyle="1" w:styleId="12">
    <w:name w:val="明显参考1"/>
    <w:basedOn w:val="a0"/>
    <w:uiPriority w:val="32"/>
    <w:qFormat/>
    <w:rPr>
      <w:b/>
      <w:bCs/>
      <w:smallCaps/>
      <w:color w:val="0F4761" w:themeColor="accent1" w:themeShade="BF"/>
      <w:spacing w:val="5"/>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paragraph" w:customStyle="1" w:styleId="13">
    <w:name w:val="修订1"/>
    <w:hidden/>
    <w:uiPriority w:val="99"/>
    <w:semiHidden/>
    <w:qFormat/>
    <w:rPr>
      <w:kern w:val="2"/>
      <w:sz w:val="21"/>
      <w:szCs w:val="22"/>
    </w:rPr>
  </w:style>
  <w:style w:type="paragraph" w:customStyle="1" w:styleId="21">
    <w:name w:val="修订2"/>
    <w:hidden/>
    <w:uiPriority w:val="99"/>
    <w:unhideWhenUsed/>
    <w:qFormat/>
    <w:pPr>
      <w:spacing w:after="0" w:line="240" w:lineRule="auto"/>
    </w:pPr>
    <w:rPr>
      <w:kern w:val="2"/>
      <w:sz w:val="21"/>
      <w:szCs w:val="22"/>
    </w:rPr>
  </w:style>
  <w:style w:type="paragraph" w:customStyle="1" w:styleId="31">
    <w:name w:val="修订3"/>
    <w:hidden/>
    <w:uiPriority w:val="99"/>
    <w:unhideWhenUsed/>
    <w:qFormat/>
    <w:pPr>
      <w:spacing w:after="0" w:line="240" w:lineRule="auto"/>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2</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Xiao Li</cp:lastModifiedBy>
  <cp:revision>37</cp:revision>
  <dcterms:created xsi:type="dcterms:W3CDTF">2025-03-13T22:55:00Z</dcterms:created>
  <dcterms:modified xsi:type="dcterms:W3CDTF">2026-06-05T07:10:00Z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ies>
</file>