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5E526">
      <w:pPr>
        <w:spacing w:before="114" w:line="226" w:lineRule="auto"/>
        <w:jc w:val="center"/>
        <w:outlineLvl w:val="0"/>
        <w:rPr>
          <w:rFonts w:ascii="黑体" w:hAnsi="黑体" w:eastAsia="黑体" w:cs="黑体"/>
          <w:sz w:val="36"/>
          <w:szCs w:val="36"/>
        </w:rPr>
      </w:pPr>
      <w:r>
        <w:rPr>
          <w:rFonts w:ascii="黑体" w:hAnsi="黑体" w:eastAsia="黑体" w:cs="黑体"/>
          <w:spacing w:val="8"/>
          <w:sz w:val="36"/>
          <w:szCs w:val="36"/>
        </w:rPr>
        <w:t>经营者集中简易案件公示表</w:t>
      </w:r>
    </w:p>
    <w:p w14:paraId="515275C2">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宋体" w:hAnsi="宋体" w:cs="宋体" w:eastAsiaTheme="minorEastAsia"/>
          <w:sz w:val="24"/>
          <w:szCs w:val="24"/>
          <w:lang w:val="en-US" w:eastAsia="zh-CN"/>
        </w:rPr>
      </w:pPr>
    </w:p>
    <w:tbl>
      <w:tblPr>
        <w:tblStyle w:val="6"/>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4"/>
        <w:gridCol w:w="1606"/>
        <w:gridCol w:w="6094"/>
      </w:tblGrid>
      <w:tr w14:paraId="36022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1944" w:type="dxa"/>
            <w:shd w:val="clear" w:color="auto" w:fill="D9D9D9"/>
            <w:vAlign w:val="center"/>
          </w:tcPr>
          <w:p w14:paraId="073109BA">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案件名称</w:t>
            </w:r>
          </w:p>
        </w:tc>
        <w:tc>
          <w:tcPr>
            <w:tcW w:w="7700" w:type="dxa"/>
            <w:gridSpan w:val="2"/>
            <w:vAlign w:val="center"/>
          </w:tcPr>
          <w:p w14:paraId="57FCC84E">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天津百利机械装备集团有限公司收购华油惠博普科技股份有限公司股权案</w:t>
            </w:r>
          </w:p>
        </w:tc>
      </w:tr>
      <w:tr w14:paraId="453CD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6" w:hRule="atLeast"/>
        </w:trPr>
        <w:tc>
          <w:tcPr>
            <w:tcW w:w="1944" w:type="dxa"/>
            <w:shd w:val="clear" w:color="auto" w:fill="D9D9D9"/>
            <w:vAlign w:val="center"/>
          </w:tcPr>
          <w:p w14:paraId="71E63D44">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交易概况（限200字以内）</w:t>
            </w:r>
          </w:p>
        </w:tc>
        <w:tc>
          <w:tcPr>
            <w:tcW w:w="7700" w:type="dxa"/>
            <w:gridSpan w:val="2"/>
            <w:vAlign w:val="center"/>
          </w:tcPr>
          <w:p w14:paraId="37B64932">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天津百利机械装备集团有限公司（“百利集团”）与长沙水业集团有限公司（“水业集团”）签署《股份转让协议》，百利集团收购华油惠博普科技股份有限公司（“惠博普”）共计25.60%的股份。惠博普主要从事陆上油气地面工程总承包业务。</w:t>
            </w:r>
            <w:r>
              <w:rPr>
                <w:rFonts w:hint="default" w:ascii="宋体" w:hAnsi="宋体" w:cs="宋体" w:eastAsiaTheme="minorEastAsia"/>
                <w:sz w:val="24"/>
                <w:szCs w:val="24"/>
                <w:lang w:val="en-US" w:eastAsia="zh-CN"/>
              </w:rPr>
              <w:t>交易前，水业集团持有惠博普30.52%</w:t>
            </w:r>
            <w:r>
              <w:rPr>
                <w:rFonts w:hint="eastAsia" w:ascii="宋体" w:hAnsi="宋体" w:cs="宋体" w:eastAsiaTheme="minorEastAsia"/>
                <w:sz w:val="24"/>
                <w:szCs w:val="24"/>
                <w:lang w:val="en-US" w:eastAsia="zh-CN"/>
              </w:rPr>
              <w:t>的股份</w:t>
            </w:r>
            <w:r>
              <w:rPr>
                <w:rFonts w:hint="default" w:ascii="宋体" w:hAnsi="宋体" w:cs="宋体" w:eastAsiaTheme="minorEastAsia"/>
                <w:sz w:val="24"/>
                <w:szCs w:val="24"/>
                <w:lang w:val="en-US" w:eastAsia="zh-CN"/>
              </w:rPr>
              <w:t>，单独控制</w:t>
            </w:r>
            <w:r>
              <w:rPr>
                <w:rFonts w:hint="eastAsia" w:ascii="宋体" w:hAnsi="宋体" w:cs="宋体" w:eastAsiaTheme="minorEastAsia"/>
                <w:sz w:val="24"/>
                <w:szCs w:val="24"/>
                <w:lang w:val="en-US" w:eastAsia="zh-CN"/>
              </w:rPr>
              <w:t>惠博普</w:t>
            </w:r>
            <w:r>
              <w:rPr>
                <w:rFonts w:hint="default" w:ascii="宋体" w:hAnsi="宋体" w:cs="宋体" w:eastAsiaTheme="minorEastAsia"/>
                <w:sz w:val="24"/>
                <w:szCs w:val="24"/>
                <w:lang w:val="en-US" w:eastAsia="zh-CN"/>
              </w:rPr>
              <w:t>。</w:t>
            </w:r>
            <w:r>
              <w:rPr>
                <w:rFonts w:hint="eastAsia" w:ascii="宋体" w:hAnsi="宋体" w:cs="宋体" w:eastAsiaTheme="minorEastAsia"/>
                <w:sz w:val="24"/>
                <w:szCs w:val="24"/>
                <w:lang w:val="en-US" w:eastAsia="zh-CN"/>
              </w:rPr>
              <w:t>交易后，百利集团将持有惠博普25.60%的股份，</w:t>
            </w:r>
            <w:r>
              <w:rPr>
                <w:rFonts w:hint="default" w:ascii="宋体" w:hAnsi="宋体" w:cs="宋体" w:eastAsiaTheme="minorEastAsia"/>
                <w:sz w:val="24"/>
                <w:szCs w:val="24"/>
                <w:lang w:val="en-US" w:eastAsia="zh-CN"/>
              </w:rPr>
              <w:t>单独控制</w:t>
            </w:r>
            <w:r>
              <w:rPr>
                <w:rFonts w:hint="eastAsia" w:ascii="宋体" w:hAnsi="宋体" w:cs="宋体" w:eastAsiaTheme="minorEastAsia"/>
                <w:sz w:val="24"/>
                <w:szCs w:val="24"/>
                <w:lang w:val="en-US" w:eastAsia="zh-CN"/>
              </w:rPr>
              <w:t>惠博普。</w:t>
            </w:r>
          </w:p>
        </w:tc>
      </w:tr>
      <w:tr w14:paraId="25D63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1" w:hRule="atLeast"/>
        </w:trPr>
        <w:tc>
          <w:tcPr>
            <w:tcW w:w="1944" w:type="dxa"/>
            <w:vMerge w:val="restart"/>
            <w:tcBorders>
              <w:bottom w:val="nil"/>
            </w:tcBorders>
            <w:shd w:val="clear" w:color="auto" w:fill="D9D9D9"/>
            <w:vAlign w:val="center"/>
          </w:tcPr>
          <w:p w14:paraId="7065BF38">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参与集中的经营者简介（每个限100字以内）</w:t>
            </w:r>
          </w:p>
        </w:tc>
        <w:tc>
          <w:tcPr>
            <w:tcW w:w="1606" w:type="dxa"/>
            <w:vAlign w:val="center"/>
          </w:tcPr>
          <w:p w14:paraId="231F676B">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1.百利集团</w:t>
            </w:r>
          </w:p>
        </w:tc>
        <w:tc>
          <w:tcPr>
            <w:tcW w:w="6094" w:type="dxa"/>
            <w:vAlign w:val="center"/>
          </w:tcPr>
          <w:p w14:paraId="3FA1C40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百利集团经重组整合后于2014年4月30日成立于中国天津市，主要业务为通用机械装备的制造和销售等。</w:t>
            </w:r>
          </w:p>
          <w:p w14:paraId="4B7C85E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p>
          <w:p w14:paraId="5A72A709">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百利集团最终控制人为天津津智国有资本投资运营有限公司，主要业务为产品销售、技术开发服务、金融服务等。</w:t>
            </w:r>
          </w:p>
        </w:tc>
      </w:tr>
      <w:tr w14:paraId="782CE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1944" w:type="dxa"/>
            <w:vMerge w:val="continue"/>
            <w:tcBorders>
              <w:top w:val="nil"/>
            </w:tcBorders>
            <w:vAlign w:val="center"/>
          </w:tcPr>
          <w:p w14:paraId="5EF2F5D4">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p>
        </w:tc>
        <w:tc>
          <w:tcPr>
            <w:tcW w:w="1606" w:type="dxa"/>
            <w:vAlign w:val="center"/>
          </w:tcPr>
          <w:p w14:paraId="3282E301">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2.惠博普</w:t>
            </w:r>
          </w:p>
        </w:tc>
        <w:tc>
          <w:tcPr>
            <w:tcW w:w="6094" w:type="dxa"/>
            <w:vAlign w:val="center"/>
          </w:tcPr>
          <w:p w14:paraId="64D8EDC7">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惠博普于1998年10月7日成立于中国北京市，为深圳证券交易所上市公司，主要业务为陆上油气地面工程总承包等。</w:t>
            </w:r>
          </w:p>
          <w:p w14:paraId="2D30FEF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p>
          <w:p w14:paraId="12AE759A">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惠博普最终控制人为长沙城市发展集团有限公司，主要业务为城市开发、城市建设、城市运营、产融投资等。</w:t>
            </w:r>
          </w:p>
        </w:tc>
      </w:tr>
      <w:tr w14:paraId="6C695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944" w:type="dxa"/>
            <w:vMerge w:val="restart"/>
            <w:shd w:val="clear" w:color="auto" w:fill="D9D9D9"/>
            <w:vAlign w:val="center"/>
          </w:tcPr>
          <w:p w14:paraId="56D48255">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简易案件理由（可以单选，也可以多选）</w:t>
            </w:r>
          </w:p>
        </w:tc>
        <w:tc>
          <w:tcPr>
            <w:tcW w:w="7700" w:type="dxa"/>
            <w:gridSpan w:val="2"/>
            <w:vAlign w:val="center"/>
          </w:tcPr>
          <w:p w14:paraId="26DCD9A6">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sym w:font="Wingdings" w:char="00A8"/>
            </w:r>
            <w:r>
              <w:rPr>
                <w:rFonts w:hint="eastAsia" w:ascii="宋体" w:hAnsi="宋体" w:cs="宋体" w:eastAsiaTheme="minorEastAsia"/>
                <w:sz w:val="24"/>
                <w:szCs w:val="24"/>
                <w:lang w:val="en-US" w:eastAsia="zh-CN"/>
              </w:rPr>
              <w:t>1.在同一相关市场，参与集中的经营者所占的市场份额之和小于15%。</w:t>
            </w:r>
          </w:p>
        </w:tc>
      </w:tr>
      <w:tr w14:paraId="7FF08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944" w:type="dxa"/>
            <w:vMerge w:val="continue"/>
            <w:vAlign w:val="center"/>
          </w:tcPr>
          <w:p w14:paraId="204A62EA">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p>
        </w:tc>
        <w:tc>
          <w:tcPr>
            <w:tcW w:w="7700" w:type="dxa"/>
            <w:gridSpan w:val="2"/>
            <w:vAlign w:val="center"/>
          </w:tcPr>
          <w:p w14:paraId="589A8000">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sym w:font="Wingdings" w:char="00FE"/>
            </w:r>
            <w:r>
              <w:rPr>
                <w:rFonts w:hint="eastAsia" w:ascii="宋体" w:hAnsi="宋体" w:cs="宋体" w:eastAsiaTheme="minorEastAsia"/>
                <w:sz w:val="24"/>
                <w:szCs w:val="24"/>
                <w:lang w:val="en-US" w:eastAsia="zh-CN"/>
              </w:rPr>
              <w:t>2.在上下游市场，参与集中的经营者所占的市场份额均小于25%。</w:t>
            </w:r>
          </w:p>
        </w:tc>
      </w:tr>
      <w:tr w14:paraId="63783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944" w:type="dxa"/>
            <w:vMerge w:val="continue"/>
            <w:vAlign w:val="center"/>
          </w:tcPr>
          <w:p w14:paraId="2AAB8B6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p>
        </w:tc>
        <w:tc>
          <w:tcPr>
            <w:tcW w:w="7700" w:type="dxa"/>
            <w:gridSpan w:val="2"/>
            <w:vAlign w:val="center"/>
          </w:tcPr>
          <w:p w14:paraId="04560D90">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sym w:font="Wingdings" w:char="00A8"/>
            </w:r>
            <w:r>
              <w:rPr>
                <w:rFonts w:hint="eastAsia" w:ascii="宋体" w:hAnsi="宋体" w:cs="宋体" w:eastAsiaTheme="minorEastAsia"/>
                <w:sz w:val="24"/>
                <w:szCs w:val="24"/>
                <w:lang w:val="en-US" w:eastAsia="zh-CN"/>
              </w:rPr>
              <w:t>3.不在同一相关市场也不存在上下游关系的参与集中的经营者，在与交易有关的每个市场所占的市场份额均小于25%。</w:t>
            </w:r>
          </w:p>
        </w:tc>
      </w:tr>
      <w:tr w14:paraId="6BA72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944" w:type="dxa"/>
            <w:vMerge w:val="continue"/>
            <w:shd w:val="clear" w:color="auto" w:fill="D9D9D9"/>
            <w:vAlign w:val="center"/>
          </w:tcPr>
          <w:p w14:paraId="7A7F0B89">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p>
        </w:tc>
        <w:tc>
          <w:tcPr>
            <w:tcW w:w="7700" w:type="dxa"/>
            <w:gridSpan w:val="2"/>
            <w:vAlign w:val="center"/>
          </w:tcPr>
          <w:p w14:paraId="73232A60">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sym w:font="Wingdings" w:char="00A8"/>
            </w:r>
            <w:r>
              <w:rPr>
                <w:rFonts w:hint="eastAsia" w:ascii="宋体" w:hAnsi="宋体" w:cs="宋体" w:eastAsiaTheme="minorEastAsia"/>
                <w:sz w:val="24"/>
                <w:szCs w:val="24"/>
                <w:lang w:val="en-US" w:eastAsia="zh-CN"/>
              </w:rPr>
              <w:t>4.参与集中的经营者在中国境外设立合营企业，合营企业不在中国境内从事经济活动。</w:t>
            </w:r>
          </w:p>
        </w:tc>
      </w:tr>
      <w:tr w14:paraId="370D5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944" w:type="dxa"/>
            <w:vMerge w:val="continue"/>
            <w:vAlign w:val="center"/>
          </w:tcPr>
          <w:p w14:paraId="52237562">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p>
        </w:tc>
        <w:tc>
          <w:tcPr>
            <w:tcW w:w="7700" w:type="dxa"/>
            <w:gridSpan w:val="2"/>
            <w:vAlign w:val="center"/>
          </w:tcPr>
          <w:p w14:paraId="05E7E166">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sym w:font="Wingdings" w:char="00A8"/>
            </w:r>
            <w:r>
              <w:rPr>
                <w:rFonts w:hint="eastAsia" w:ascii="宋体" w:hAnsi="宋体" w:cs="宋体" w:eastAsiaTheme="minorEastAsia"/>
                <w:sz w:val="24"/>
                <w:szCs w:val="24"/>
                <w:lang w:val="en-US" w:eastAsia="zh-CN"/>
              </w:rPr>
              <w:t>5.参与集中的经营者收购境外企业股权或资产的，该境外企业不在中国境内从事经济活动。</w:t>
            </w:r>
          </w:p>
        </w:tc>
      </w:tr>
      <w:tr w14:paraId="1D6E8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944" w:type="dxa"/>
            <w:vMerge w:val="continue"/>
            <w:vAlign w:val="center"/>
          </w:tcPr>
          <w:p w14:paraId="11195E48">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p>
        </w:tc>
        <w:tc>
          <w:tcPr>
            <w:tcW w:w="7700" w:type="dxa"/>
            <w:gridSpan w:val="2"/>
            <w:vAlign w:val="center"/>
          </w:tcPr>
          <w:p w14:paraId="2F46A214">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sym w:font="Wingdings" w:char="00A8"/>
            </w:r>
            <w:r>
              <w:rPr>
                <w:rFonts w:hint="eastAsia" w:ascii="宋体" w:hAnsi="宋体" w:cs="宋体" w:eastAsiaTheme="minorEastAsia"/>
                <w:sz w:val="24"/>
                <w:szCs w:val="24"/>
                <w:lang w:val="en-US" w:eastAsia="zh-CN"/>
              </w:rPr>
              <w:t>6.由两个以上的经营者共同控制的合营企业，通过集中被其中一个或一个以上经营者控制。</w:t>
            </w:r>
          </w:p>
        </w:tc>
      </w:tr>
      <w:tr w14:paraId="65288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9" w:hRule="atLeast"/>
        </w:trPr>
        <w:tc>
          <w:tcPr>
            <w:tcW w:w="1944" w:type="dxa"/>
            <w:shd w:val="clear" w:color="auto" w:fill="D9D9D9"/>
            <w:vAlign w:val="center"/>
          </w:tcPr>
          <w:p w14:paraId="41D36211">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备注</w:t>
            </w:r>
          </w:p>
        </w:tc>
        <w:tc>
          <w:tcPr>
            <w:tcW w:w="7700" w:type="dxa"/>
            <w:gridSpan w:val="2"/>
            <w:vAlign w:val="center"/>
          </w:tcPr>
          <w:p w14:paraId="47B6962E">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b/>
                <w:bCs/>
                <w:sz w:val="24"/>
                <w:szCs w:val="24"/>
                <w:lang w:val="en-US" w:eastAsia="zh-CN"/>
              </w:rPr>
            </w:pPr>
            <w:r>
              <w:rPr>
                <w:rFonts w:hint="eastAsia" w:ascii="宋体" w:hAnsi="宋体" w:cs="宋体" w:eastAsiaTheme="minorEastAsia"/>
                <w:b/>
                <w:bCs/>
                <w:sz w:val="24"/>
                <w:szCs w:val="24"/>
                <w:lang w:val="en-US" w:eastAsia="zh-CN"/>
              </w:rPr>
              <w:t>纵向关联：</w:t>
            </w:r>
          </w:p>
          <w:tbl>
            <w:tblPr>
              <w:tblStyle w:val="4"/>
              <w:tblW w:w="7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1944"/>
              <w:gridCol w:w="3095"/>
            </w:tblGrid>
            <w:tr w14:paraId="7E50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58" w:type="dxa"/>
                  <w:vAlign w:val="center"/>
                </w:tcPr>
                <w:p w14:paraId="26A8265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宋体" w:hAnsi="宋体" w:cs="宋体" w:eastAsiaTheme="minorEastAsia"/>
                      <w:b/>
                      <w:bCs/>
                      <w:sz w:val="24"/>
                      <w:szCs w:val="24"/>
                      <w:vertAlign w:val="baseline"/>
                      <w:lang w:val="en-US" w:eastAsia="zh-CN"/>
                    </w:rPr>
                  </w:pPr>
                  <w:r>
                    <w:rPr>
                      <w:rFonts w:hint="eastAsia" w:ascii="宋体" w:hAnsi="宋体" w:cs="宋体" w:eastAsiaTheme="minorEastAsia"/>
                      <w:b/>
                      <w:bCs/>
                      <w:sz w:val="24"/>
                      <w:szCs w:val="24"/>
                      <w:vertAlign w:val="baseline"/>
                      <w:lang w:val="en-US" w:eastAsia="zh-CN"/>
                    </w:rPr>
                    <w:t>相关商品市场</w:t>
                  </w:r>
                </w:p>
              </w:tc>
              <w:tc>
                <w:tcPr>
                  <w:tcW w:w="1944" w:type="dxa"/>
                  <w:vAlign w:val="center"/>
                </w:tcPr>
                <w:p w14:paraId="089DECB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宋体" w:hAnsi="宋体" w:cs="宋体" w:eastAsiaTheme="minorEastAsia"/>
                      <w:b/>
                      <w:bCs/>
                      <w:sz w:val="24"/>
                      <w:szCs w:val="24"/>
                      <w:vertAlign w:val="baseline"/>
                      <w:lang w:val="en-US" w:eastAsia="zh-CN"/>
                    </w:rPr>
                  </w:pPr>
                  <w:r>
                    <w:rPr>
                      <w:rFonts w:hint="eastAsia" w:ascii="宋体" w:hAnsi="宋体" w:cs="宋体" w:eastAsiaTheme="minorEastAsia"/>
                      <w:b/>
                      <w:bCs/>
                      <w:sz w:val="24"/>
                      <w:szCs w:val="24"/>
                      <w:vertAlign w:val="baseline"/>
                      <w:lang w:val="en-US" w:eastAsia="zh-CN"/>
                    </w:rPr>
                    <w:t>相关地域市场</w:t>
                  </w:r>
                </w:p>
              </w:tc>
              <w:tc>
                <w:tcPr>
                  <w:tcW w:w="3095" w:type="dxa"/>
                  <w:vAlign w:val="center"/>
                </w:tcPr>
                <w:p w14:paraId="2A90008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宋体" w:hAnsi="宋体" w:cs="宋体" w:eastAsiaTheme="minorEastAsia"/>
                      <w:b/>
                      <w:bCs/>
                      <w:sz w:val="24"/>
                      <w:szCs w:val="24"/>
                      <w:vertAlign w:val="baseline"/>
                      <w:lang w:val="en-US" w:eastAsia="zh-CN"/>
                    </w:rPr>
                  </w:pPr>
                  <w:r>
                    <w:rPr>
                      <w:rFonts w:hint="eastAsia" w:ascii="宋体" w:hAnsi="宋体" w:cs="宋体" w:eastAsiaTheme="minorEastAsia"/>
                      <w:b/>
                      <w:bCs/>
                      <w:sz w:val="24"/>
                      <w:szCs w:val="24"/>
                      <w:vertAlign w:val="baseline"/>
                      <w:lang w:val="en-US" w:eastAsia="zh-CN"/>
                    </w:rPr>
                    <w:t>2024年市场份额</w:t>
                  </w:r>
                </w:p>
              </w:tc>
            </w:tr>
            <w:tr w14:paraId="4E52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2658" w:type="dxa"/>
                  <w:vAlign w:val="center"/>
                </w:tcPr>
                <w:p w14:paraId="00817F71">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上游：板式换热器市场</w:t>
                  </w:r>
                </w:p>
                <w:p w14:paraId="49EBD193">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下游：陆上油气地面工程总承包市场</w:t>
                  </w:r>
                </w:p>
              </w:tc>
              <w:tc>
                <w:tcPr>
                  <w:tcW w:w="1944" w:type="dxa"/>
                  <w:vAlign w:val="center"/>
                </w:tcPr>
                <w:p w14:paraId="5EC4266B">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上游：中国境内</w:t>
                  </w:r>
                </w:p>
                <w:p w14:paraId="57BEEE4B">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下游：全球</w:t>
                  </w:r>
                </w:p>
              </w:tc>
              <w:tc>
                <w:tcPr>
                  <w:tcW w:w="3095" w:type="dxa"/>
                  <w:vAlign w:val="center"/>
                </w:tcPr>
                <w:p w14:paraId="2DB46412">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上游：中国境内板式换热器市场</w:t>
                  </w:r>
                </w:p>
                <w:p w14:paraId="2C2707B6">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百利集团：0-5%</w:t>
                  </w:r>
                </w:p>
                <w:p w14:paraId="7E358AC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下游：全球陆上油气地面工程总承包市场</w:t>
                  </w:r>
                </w:p>
                <w:p w14:paraId="623521C8">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惠博普：0-5%</w:t>
                  </w:r>
                </w:p>
                <w:p w14:paraId="2FA26709">
                  <w:pPr>
                    <w:keepNext w:val="0"/>
                    <w:keepLines w:val="0"/>
                    <w:pageBreakBefore w:val="0"/>
                    <w:widowControl/>
                    <w:kinsoku w:val="0"/>
                    <w:wordWrap/>
                    <w:overflowPunct/>
                    <w:topLinePunct w:val="0"/>
                    <w:autoSpaceDE w:val="0"/>
                    <w:autoSpaceDN w:val="0"/>
                    <w:bidi w:val="0"/>
                    <w:adjustRightInd w:val="0"/>
                    <w:snapToGrid w:val="0"/>
                    <w:ind w:firstLine="720" w:firstLineChars="30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中国境内陆上油气地面工程总承包市场</w:t>
                  </w:r>
                </w:p>
                <w:p w14:paraId="3625795F">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惠博普：0-5%</w:t>
                  </w:r>
                </w:p>
              </w:tc>
            </w:tr>
            <w:tr w14:paraId="191C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2658" w:type="dxa"/>
                  <w:vAlign w:val="center"/>
                </w:tcPr>
                <w:p w14:paraId="0DE4412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上游：隔离阀市场</w:t>
                  </w:r>
                </w:p>
                <w:p w14:paraId="6905F053">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下游：陆上油气地面工程总承包市场</w:t>
                  </w:r>
                </w:p>
              </w:tc>
              <w:tc>
                <w:tcPr>
                  <w:tcW w:w="1944" w:type="dxa"/>
                  <w:vAlign w:val="center"/>
                </w:tcPr>
                <w:p w14:paraId="730330E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上游：中国境内</w:t>
                  </w:r>
                </w:p>
                <w:p w14:paraId="51E3AEE3">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下游：全球</w:t>
                  </w:r>
                </w:p>
              </w:tc>
              <w:tc>
                <w:tcPr>
                  <w:tcW w:w="3095" w:type="dxa"/>
                  <w:vAlign w:val="center"/>
                </w:tcPr>
                <w:p w14:paraId="67C8B65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上游：中国境内隔离阀市场</w:t>
                  </w:r>
                </w:p>
                <w:p w14:paraId="3B1D0584">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百利集团：0-5%</w:t>
                  </w:r>
                </w:p>
                <w:p w14:paraId="201BCC56">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下游：全球陆上油气地面工程总承包市场</w:t>
                  </w:r>
                </w:p>
                <w:p w14:paraId="5191A6FF">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惠博普：如上所述</w:t>
                  </w:r>
                </w:p>
                <w:p w14:paraId="1828E8CB">
                  <w:pPr>
                    <w:keepNext w:val="0"/>
                    <w:keepLines w:val="0"/>
                    <w:pageBreakBefore w:val="0"/>
                    <w:widowControl/>
                    <w:kinsoku w:val="0"/>
                    <w:wordWrap/>
                    <w:overflowPunct/>
                    <w:topLinePunct w:val="0"/>
                    <w:autoSpaceDE w:val="0"/>
                    <w:autoSpaceDN w:val="0"/>
                    <w:bidi w:val="0"/>
                    <w:adjustRightInd w:val="0"/>
                    <w:snapToGrid w:val="0"/>
                    <w:ind w:firstLine="720" w:firstLineChars="30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中国境内陆上油气地面工程总承包市场</w:t>
                  </w:r>
                </w:p>
                <w:p w14:paraId="6E7E6B38">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惠博普：如上所述</w:t>
                  </w:r>
                </w:p>
              </w:tc>
            </w:tr>
            <w:tr w14:paraId="585D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2658" w:type="dxa"/>
                  <w:vAlign w:val="center"/>
                </w:tcPr>
                <w:p w14:paraId="18E5E9A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上游：工业用泵市场</w:t>
                  </w:r>
                </w:p>
                <w:p w14:paraId="5F7B96DF">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下游：陆上油气地面工程总承包市场</w:t>
                  </w:r>
                </w:p>
              </w:tc>
              <w:tc>
                <w:tcPr>
                  <w:tcW w:w="1944" w:type="dxa"/>
                  <w:vAlign w:val="center"/>
                </w:tcPr>
                <w:p w14:paraId="1909CB05">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上游：中国境内</w:t>
                  </w:r>
                </w:p>
                <w:p w14:paraId="042B0D0B">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下游：全球</w:t>
                  </w:r>
                </w:p>
              </w:tc>
              <w:tc>
                <w:tcPr>
                  <w:tcW w:w="3095" w:type="dxa"/>
                  <w:vAlign w:val="center"/>
                </w:tcPr>
                <w:p w14:paraId="48672289">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上游：中国境内工业用泵市场</w:t>
                  </w:r>
                </w:p>
                <w:p w14:paraId="745C8558">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百利集团：0-5%</w:t>
                  </w:r>
                </w:p>
                <w:p w14:paraId="163C8539">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下游：全球陆上油气地面工程总承包市场</w:t>
                  </w:r>
                </w:p>
                <w:p w14:paraId="2A8DD6B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惠博普：如上所述</w:t>
                  </w:r>
                </w:p>
                <w:p w14:paraId="45A5EA0A">
                  <w:pPr>
                    <w:keepNext w:val="0"/>
                    <w:keepLines w:val="0"/>
                    <w:pageBreakBefore w:val="0"/>
                    <w:widowControl/>
                    <w:kinsoku w:val="0"/>
                    <w:wordWrap/>
                    <w:overflowPunct/>
                    <w:topLinePunct w:val="0"/>
                    <w:autoSpaceDE w:val="0"/>
                    <w:autoSpaceDN w:val="0"/>
                    <w:bidi w:val="0"/>
                    <w:adjustRightInd w:val="0"/>
                    <w:snapToGrid w:val="0"/>
                    <w:ind w:firstLine="720" w:firstLineChars="300"/>
                    <w:jc w:val="both"/>
                    <w:textAlignment w:val="baseline"/>
                    <w:rPr>
                      <w:rFonts w:hint="eastAsia" w:ascii="宋体" w:hAnsi="宋体" w:cs="宋体" w:eastAsiaTheme="minorEastAsia"/>
                      <w:sz w:val="24"/>
                      <w:szCs w:val="24"/>
                      <w:vertAlign w:val="baseline"/>
                      <w:lang w:val="en-US" w:eastAsia="zh-CN"/>
                    </w:rPr>
                  </w:pPr>
                  <w:bookmarkStart w:id="0" w:name="_GoBack"/>
                  <w:bookmarkEnd w:id="0"/>
                  <w:r>
                    <w:rPr>
                      <w:rFonts w:hint="eastAsia" w:ascii="宋体" w:hAnsi="宋体" w:cs="宋体" w:eastAsiaTheme="minorEastAsia"/>
                      <w:sz w:val="24"/>
                      <w:szCs w:val="24"/>
                      <w:vertAlign w:val="baseline"/>
                      <w:lang w:val="en-US" w:eastAsia="zh-CN"/>
                    </w:rPr>
                    <w:t>中国境内陆上油气地面工程总承包市场</w:t>
                  </w:r>
                </w:p>
                <w:p w14:paraId="432FE228">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vertAlign w:val="baseline"/>
                      <w:lang w:val="en-US" w:eastAsia="zh-CN"/>
                    </w:rPr>
                  </w:pPr>
                  <w:r>
                    <w:rPr>
                      <w:rFonts w:hint="eastAsia" w:ascii="宋体" w:hAnsi="宋体" w:cs="宋体" w:eastAsiaTheme="minorEastAsia"/>
                      <w:sz w:val="24"/>
                      <w:szCs w:val="24"/>
                      <w:vertAlign w:val="baseline"/>
                      <w:lang w:val="en-US" w:eastAsia="zh-CN"/>
                    </w:rPr>
                    <w:t>惠博普：如上所述</w:t>
                  </w:r>
                </w:p>
              </w:tc>
            </w:tr>
          </w:tbl>
          <w:p w14:paraId="40764D6A">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cs="宋体" w:eastAsiaTheme="minorEastAsia"/>
                <w:sz w:val="24"/>
                <w:szCs w:val="24"/>
                <w:lang w:val="en-US" w:eastAsia="zh-CN"/>
              </w:rPr>
            </w:pPr>
          </w:p>
        </w:tc>
      </w:tr>
    </w:tbl>
    <w:p w14:paraId="6E04670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cs="宋体" w:eastAsiaTheme="minorEastAsia"/>
          <w:sz w:val="24"/>
          <w:szCs w:val="24"/>
          <w:lang w:val="en-US" w:eastAsia="zh-CN"/>
        </w:rPr>
      </w:pPr>
    </w:p>
    <w:sectPr>
      <w:pgSz w:w="11906" w:h="16839"/>
      <w:pgMar w:top="1431" w:right="1473" w:bottom="0" w:left="136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BC33EB3"/>
    <w:rsid w:val="19386FF0"/>
    <w:rsid w:val="25423C43"/>
    <w:rsid w:val="263C0693"/>
    <w:rsid w:val="34637732"/>
    <w:rsid w:val="3DBF1E7D"/>
    <w:rsid w:val="3ED100BA"/>
    <w:rsid w:val="3EE33949"/>
    <w:rsid w:val="43160FF7"/>
    <w:rsid w:val="43170C40"/>
    <w:rsid w:val="489B5295"/>
    <w:rsid w:val="58C03769"/>
    <w:rsid w:val="675D7D4F"/>
    <w:rsid w:val="68D40C07"/>
    <w:rsid w:val="6DA94999"/>
    <w:rsid w:val="7A572F63"/>
    <w:rsid w:val="7BE205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1033</Words>
  <Characters>1098</Characters>
  <TotalTime>3</TotalTime>
  <ScaleCrop>false</ScaleCrop>
  <LinksUpToDate>false</LinksUpToDate>
  <CharactersWithSpaces>1098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2024-09-13T17:21:00Z</dcterms:created>
  <dc:creator>oa</dc:creator>
  <cp:lastModifiedBy>国浩律师 </cp:lastModifiedBy>
  <dcterms:modified xsi:type="dcterms:W3CDTF">2026-03-23T07:50:58Z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2026-02-27T12:40:27Z</vt:filetime>
  </property>
  <property fmtid="{D5CDD505-2E9C-101B-9397-08002B2CF9AE}" pid="4" name="KSOTemplateDocerSaveRecord">
    <vt:lpwstr>eyJoZGlkIjoiZjEzNGM2NTdiNjA1M2NiNmE3NDZmYWNhODQ1YWMyNTciLCJ1c2VySWQiOiIyNTI2NzQyMDAifQ==</vt:lpwstr>
  </property>
  <property fmtid="{D5CDD505-2E9C-101B-9397-08002B2CF9AE}" pid="5" name="KSOProductBuildVer">
    <vt:lpwstr>2052-12.1.0.25225</vt:lpwstr>
  </property>
  <property fmtid="{D5CDD505-2E9C-101B-9397-08002B2CF9AE}" pid="6" name="ICV">
    <vt:lpwstr>8D29B525D5B6470BBB74AD89F2A56B7E_12</vt:lpwstr>
  </property>
</Properties>
</file>