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558" w14:textId="61B8DF75" w:rsidR="0025066F" w:rsidRPr="00C04F86" w:rsidRDefault="00C77246" w:rsidP="00642395">
      <w:pPr>
        <w:jc w:val="center"/>
        <w:rPr>
          <w:rFonts w:ascii="黑体" w:eastAsia="黑体" w:hAnsi="黑体" w:hint="eastAsia"/>
          <w:b/>
          <w:sz w:val="36"/>
          <w:szCs w:val="36"/>
        </w:rPr>
      </w:pPr>
      <w:r w:rsidRPr="00C04F86">
        <w:rPr>
          <w:rFonts w:ascii="黑体" w:eastAsia="黑体" w:hAnsi="黑体"/>
          <w:b/>
          <w:sz w:val="36"/>
          <w:szCs w:val="36"/>
        </w:rPr>
        <w:t>经营者集中简易案件公示表</w:t>
      </w:r>
    </w:p>
    <w:p w14:paraId="0C6163A0" w14:textId="77777777" w:rsidR="00C77246" w:rsidRPr="00C04F86" w:rsidRDefault="00C77246" w:rsidP="00642395">
      <w:pPr>
        <w:jc w:val="center"/>
        <w:rPr>
          <w:rFonts w:ascii="宋体" w:hAnsi="宋体" w:hint="eastAsia"/>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6"/>
        <w:gridCol w:w="4794"/>
      </w:tblGrid>
      <w:tr w:rsidR="0025066F" w:rsidRPr="006E7CFA" w14:paraId="578A9BD6" w14:textId="77777777" w:rsidTr="2A98A1F1">
        <w:tc>
          <w:tcPr>
            <w:tcW w:w="1838" w:type="dxa"/>
            <w:shd w:val="clear" w:color="auto" w:fill="D9D9D9" w:themeFill="background1" w:themeFillShade="D9"/>
          </w:tcPr>
          <w:p w14:paraId="59616BE1" w14:textId="275BAA6D" w:rsidR="0025066F" w:rsidRPr="006E7CFA" w:rsidRDefault="00C77246" w:rsidP="003231CB">
            <w:pPr>
              <w:snapToGrid w:val="0"/>
              <w:rPr>
                <w:rFonts w:ascii="宋体" w:hAnsi="宋体" w:hint="eastAsia"/>
                <w:sz w:val="24"/>
                <w:szCs w:val="24"/>
              </w:rPr>
            </w:pPr>
            <w:r w:rsidRPr="006E7CFA">
              <w:rPr>
                <w:rFonts w:ascii="宋体" w:hAnsi="宋体"/>
                <w:color w:val="333333"/>
                <w:kern w:val="0"/>
                <w:sz w:val="24"/>
                <w:szCs w:val="24"/>
              </w:rPr>
              <w:t>案件名称</w:t>
            </w:r>
          </w:p>
        </w:tc>
        <w:tc>
          <w:tcPr>
            <w:tcW w:w="6920" w:type="dxa"/>
            <w:gridSpan w:val="2"/>
          </w:tcPr>
          <w:p w14:paraId="09748E7A" w14:textId="65780065" w:rsidR="0025066F" w:rsidRPr="006E7CFA" w:rsidRDefault="005E0D02" w:rsidP="00977CC5">
            <w:pPr>
              <w:snapToGrid w:val="0"/>
              <w:rPr>
                <w:rFonts w:ascii="宋体" w:hAnsi="宋体" w:hint="eastAsia"/>
                <w:sz w:val="24"/>
                <w:szCs w:val="24"/>
              </w:rPr>
            </w:pPr>
            <w:r w:rsidRPr="006E7CFA">
              <w:rPr>
                <w:rFonts w:ascii="宋体" w:hAnsi="宋体" w:hint="eastAsia"/>
                <w:sz w:val="24"/>
                <w:szCs w:val="24"/>
              </w:rPr>
              <w:t>加拿大养老金计划投资委员会与英桥公司收购Eoliennes du Grand Large SAS股权案</w:t>
            </w:r>
          </w:p>
        </w:tc>
      </w:tr>
      <w:tr w:rsidR="0025066F" w:rsidRPr="006E7CFA" w14:paraId="10D20590" w14:textId="77777777" w:rsidTr="2A98A1F1">
        <w:trPr>
          <w:trHeight w:val="993"/>
        </w:trPr>
        <w:tc>
          <w:tcPr>
            <w:tcW w:w="1838" w:type="dxa"/>
            <w:shd w:val="clear" w:color="auto" w:fill="D9D9D9" w:themeFill="background1" w:themeFillShade="D9"/>
          </w:tcPr>
          <w:p w14:paraId="56A58A34" w14:textId="77777777" w:rsidR="00C77246" w:rsidRPr="006E7CFA" w:rsidRDefault="00C77246" w:rsidP="003231CB">
            <w:pPr>
              <w:snapToGrid w:val="0"/>
              <w:rPr>
                <w:rFonts w:ascii="宋体" w:hAnsi="宋体" w:hint="eastAsia"/>
                <w:color w:val="333333"/>
                <w:kern w:val="0"/>
                <w:sz w:val="24"/>
                <w:szCs w:val="24"/>
              </w:rPr>
            </w:pPr>
            <w:r w:rsidRPr="006E7CFA">
              <w:rPr>
                <w:rFonts w:ascii="宋体" w:hAnsi="宋体"/>
                <w:color w:val="333333"/>
                <w:kern w:val="0"/>
                <w:sz w:val="24"/>
                <w:szCs w:val="24"/>
              </w:rPr>
              <w:t>交易概况</w:t>
            </w:r>
          </w:p>
          <w:p w14:paraId="7B893F73" w14:textId="27B3D963" w:rsidR="0025066F" w:rsidRPr="006E7CFA" w:rsidRDefault="00C77246" w:rsidP="003231CB">
            <w:pPr>
              <w:snapToGrid w:val="0"/>
              <w:rPr>
                <w:rFonts w:ascii="宋体" w:hAnsi="宋体" w:hint="eastAsia"/>
                <w:sz w:val="24"/>
                <w:szCs w:val="24"/>
              </w:rPr>
            </w:pPr>
            <w:r w:rsidRPr="006E7CFA">
              <w:rPr>
                <w:rFonts w:ascii="宋体" w:hAnsi="宋体"/>
                <w:color w:val="333333"/>
                <w:kern w:val="0"/>
                <w:sz w:val="24"/>
                <w:szCs w:val="24"/>
              </w:rPr>
              <w:t>（限200字内）</w:t>
            </w:r>
          </w:p>
        </w:tc>
        <w:tc>
          <w:tcPr>
            <w:tcW w:w="6920" w:type="dxa"/>
            <w:gridSpan w:val="2"/>
          </w:tcPr>
          <w:p w14:paraId="02F07C32" w14:textId="2241258A" w:rsidR="005E0D02" w:rsidRPr="006E7CFA" w:rsidRDefault="005E0D02" w:rsidP="00CB392F">
            <w:pPr>
              <w:snapToGrid w:val="0"/>
              <w:rPr>
                <w:rFonts w:ascii="宋体" w:hAnsi="宋体" w:hint="eastAsia"/>
                <w:bCs/>
                <w:color w:val="000000"/>
                <w:sz w:val="24"/>
              </w:rPr>
            </w:pPr>
            <w:r w:rsidRPr="006E7CFA">
              <w:rPr>
                <w:rFonts w:ascii="宋体" w:hAnsi="宋体"/>
                <w:color w:val="000000"/>
                <w:sz w:val="24"/>
              </w:rPr>
              <w:t>加拿大养老金计划投资委员会（“</w:t>
            </w:r>
            <w:r w:rsidRPr="006E7CFA">
              <w:rPr>
                <w:rFonts w:ascii="宋体" w:hAnsi="宋体"/>
                <w:b/>
                <w:bCs/>
                <w:color w:val="000000"/>
                <w:sz w:val="24"/>
              </w:rPr>
              <w:t>CPP Investments</w:t>
            </w:r>
            <w:r w:rsidRPr="006E7CFA">
              <w:rPr>
                <w:rFonts w:ascii="宋体" w:hAnsi="宋体"/>
                <w:color w:val="000000"/>
                <w:sz w:val="24"/>
              </w:rPr>
              <w:t>”）</w:t>
            </w:r>
            <w:r w:rsidRPr="006E7CFA">
              <w:rPr>
                <w:rFonts w:ascii="宋体" w:hAnsi="宋体" w:hint="eastAsia"/>
                <w:bCs/>
                <w:color w:val="000000"/>
                <w:sz w:val="24"/>
              </w:rPr>
              <w:t>、</w:t>
            </w:r>
            <w:r w:rsidRPr="006E7CFA">
              <w:rPr>
                <w:rFonts w:ascii="宋体" w:hAnsi="宋体"/>
                <w:color w:val="000000"/>
                <w:sz w:val="24"/>
              </w:rPr>
              <w:t>英桥公司（“</w:t>
            </w:r>
            <w:r w:rsidRPr="006E7CFA">
              <w:rPr>
                <w:rFonts w:ascii="宋体" w:hAnsi="宋体"/>
                <w:b/>
                <w:bCs/>
                <w:color w:val="000000"/>
                <w:sz w:val="24"/>
              </w:rPr>
              <w:t>英桥</w:t>
            </w:r>
            <w:r w:rsidRPr="006E7CFA">
              <w:rPr>
                <w:rFonts w:ascii="宋体" w:hAnsi="宋体"/>
                <w:color w:val="000000"/>
                <w:sz w:val="24"/>
              </w:rPr>
              <w:t>”）</w:t>
            </w:r>
            <w:r w:rsidRPr="006E7CFA">
              <w:rPr>
                <w:rFonts w:ascii="宋体" w:hAnsi="宋体" w:hint="eastAsia"/>
                <w:color w:val="000000"/>
                <w:sz w:val="24"/>
              </w:rPr>
              <w:t>与</w:t>
            </w:r>
            <w:r w:rsidRPr="006E7CFA">
              <w:rPr>
                <w:rFonts w:ascii="宋体" w:hAnsi="宋体"/>
                <w:color w:val="000000"/>
                <w:sz w:val="24"/>
              </w:rPr>
              <w:t>法国电力集团（“</w:t>
            </w:r>
            <w:r w:rsidRPr="006E7CFA">
              <w:rPr>
                <w:rFonts w:ascii="宋体" w:hAnsi="宋体"/>
                <w:b/>
                <w:bCs/>
                <w:color w:val="000000"/>
                <w:sz w:val="24"/>
              </w:rPr>
              <w:t>法电集团</w:t>
            </w:r>
            <w:r w:rsidRPr="006E7CFA">
              <w:rPr>
                <w:rFonts w:ascii="宋体" w:hAnsi="宋体"/>
                <w:color w:val="000000"/>
                <w:sz w:val="24"/>
              </w:rPr>
              <w:t>”）</w:t>
            </w:r>
            <w:r w:rsidR="00044171">
              <w:rPr>
                <w:rFonts w:ascii="宋体" w:hAnsi="宋体" w:hint="eastAsia"/>
                <w:color w:val="000000"/>
                <w:sz w:val="24"/>
              </w:rPr>
              <w:t>（通过各自的关联企业）</w:t>
            </w:r>
            <w:r w:rsidRPr="006E7CFA">
              <w:rPr>
                <w:rFonts w:ascii="宋体" w:hAnsi="宋体" w:hint="eastAsia"/>
                <w:bCs/>
                <w:color w:val="000000"/>
                <w:sz w:val="24"/>
              </w:rPr>
              <w:t>签署协议，CPP Investments和英桥将分别间接收购</w:t>
            </w:r>
            <w:r w:rsidRPr="006E7CFA">
              <w:rPr>
                <w:rFonts w:ascii="宋体" w:hAnsi="宋体"/>
                <w:bCs/>
                <w:color w:val="000000"/>
                <w:sz w:val="24"/>
              </w:rPr>
              <w:t>Eoliennes du Grand Large SAS</w:t>
            </w:r>
            <w:r w:rsidRPr="006E7CFA">
              <w:rPr>
                <w:rFonts w:ascii="宋体" w:hAnsi="宋体" w:hint="eastAsia"/>
                <w:bCs/>
                <w:color w:val="000000"/>
                <w:sz w:val="24"/>
              </w:rPr>
              <w:t>（“</w:t>
            </w:r>
            <w:r w:rsidRPr="006E7CFA">
              <w:rPr>
                <w:rFonts w:ascii="宋体" w:hAnsi="宋体" w:hint="eastAsia"/>
                <w:b/>
                <w:color w:val="000000"/>
                <w:sz w:val="24"/>
              </w:rPr>
              <w:t>目标公司</w:t>
            </w:r>
            <w:r w:rsidRPr="006E7CFA">
              <w:rPr>
                <w:rFonts w:ascii="宋体" w:hAnsi="宋体" w:hint="eastAsia"/>
                <w:bCs/>
                <w:color w:val="000000"/>
                <w:sz w:val="24"/>
              </w:rPr>
              <w:t>”）20%的股权。目标公司</w:t>
            </w:r>
            <w:r w:rsidR="00044171">
              <w:rPr>
                <w:rFonts w:ascii="宋体" w:hAnsi="宋体" w:hint="eastAsia"/>
                <w:bCs/>
                <w:color w:val="000000"/>
                <w:sz w:val="24"/>
              </w:rPr>
              <w:t>若获得法国政府授予的特许经营权，</w:t>
            </w:r>
            <w:r w:rsidRPr="006E7CFA">
              <w:rPr>
                <w:rFonts w:ascii="宋体" w:hAnsi="宋体" w:hint="eastAsia"/>
                <w:bCs/>
                <w:color w:val="000000"/>
                <w:sz w:val="24"/>
              </w:rPr>
              <w:t>将在法国从事风电业务。</w:t>
            </w:r>
          </w:p>
          <w:p w14:paraId="42DF6FD5" w14:textId="46D77E82" w:rsidR="00CB392F" w:rsidRPr="006E7CFA" w:rsidRDefault="005E0D02" w:rsidP="00CB392F">
            <w:pPr>
              <w:snapToGrid w:val="0"/>
              <w:rPr>
                <w:rFonts w:ascii="宋体" w:hAnsi="宋体" w:hint="eastAsia"/>
                <w:sz w:val="24"/>
                <w:szCs w:val="24"/>
              </w:rPr>
            </w:pPr>
            <w:r w:rsidRPr="006E7CFA">
              <w:rPr>
                <w:rFonts w:ascii="宋体" w:hAnsi="宋体"/>
                <w:color w:val="000000"/>
                <w:sz w:val="24"/>
              </w:rPr>
              <w:t>交易</w:t>
            </w:r>
            <w:r w:rsidRPr="006E7CFA">
              <w:rPr>
                <w:rFonts w:ascii="宋体" w:hAnsi="宋体" w:hint="eastAsia"/>
                <w:color w:val="000000"/>
                <w:sz w:val="24"/>
              </w:rPr>
              <w:t>前</w:t>
            </w:r>
            <w:r w:rsidRPr="006E7CFA">
              <w:rPr>
                <w:rFonts w:ascii="宋体" w:hAnsi="宋体"/>
                <w:color w:val="000000"/>
                <w:sz w:val="24"/>
              </w:rPr>
              <w:t>，法电集团间接持有</w:t>
            </w:r>
            <w:r w:rsidRPr="006E7CFA">
              <w:rPr>
                <w:rFonts w:ascii="宋体" w:hAnsi="宋体" w:hint="eastAsia"/>
                <w:color w:val="000000"/>
                <w:sz w:val="24"/>
              </w:rPr>
              <w:t>目标公司100</w:t>
            </w:r>
            <w:r w:rsidRPr="006E7CFA">
              <w:rPr>
                <w:rFonts w:ascii="宋体" w:hAnsi="宋体"/>
                <w:color w:val="000000"/>
                <w:sz w:val="24"/>
              </w:rPr>
              <w:t>%</w:t>
            </w:r>
            <w:r w:rsidRPr="006E7CFA">
              <w:rPr>
                <w:rFonts w:ascii="宋体" w:hAnsi="宋体" w:hint="eastAsia"/>
                <w:color w:val="000000"/>
                <w:sz w:val="24"/>
              </w:rPr>
              <w:t>的股权</w:t>
            </w:r>
            <w:r w:rsidRPr="006E7CFA">
              <w:rPr>
                <w:rFonts w:ascii="宋体" w:hAnsi="宋体"/>
                <w:color w:val="000000"/>
                <w:sz w:val="24"/>
              </w:rPr>
              <w:t>，</w:t>
            </w:r>
            <w:r w:rsidRPr="006E7CFA">
              <w:rPr>
                <w:rFonts w:ascii="宋体" w:hAnsi="宋体" w:hint="eastAsia"/>
                <w:color w:val="000000"/>
                <w:sz w:val="24"/>
              </w:rPr>
              <w:t>单独控制目标公司。交易后，</w:t>
            </w:r>
            <w:r w:rsidRPr="006E7CFA">
              <w:rPr>
                <w:rFonts w:ascii="宋体" w:hAnsi="宋体"/>
                <w:color w:val="000000"/>
                <w:sz w:val="24"/>
              </w:rPr>
              <w:t>CPP Investments和英桥将</w:t>
            </w:r>
            <w:r w:rsidRPr="006E7CFA">
              <w:rPr>
                <w:rFonts w:ascii="宋体" w:hAnsi="宋体" w:hint="eastAsia"/>
                <w:bCs/>
                <w:color w:val="000000"/>
                <w:sz w:val="24"/>
              </w:rPr>
              <w:t>分别</w:t>
            </w:r>
            <w:r w:rsidRPr="006E7CFA">
              <w:rPr>
                <w:rFonts w:ascii="宋体" w:hAnsi="宋体"/>
                <w:color w:val="000000"/>
                <w:sz w:val="24"/>
              </w:rPr>
              <w:t>间接持有</w:t>
            </w:r>
            <w:r w:rsidRPr="006E7CFA">
              <w:rPr>
                <w:rFonts w:ascii="宋体" w:hAnsi="宋体" w:hint="eastAsia"/>
                <w:color w:val="000000"/>
                <w:sz w:val="24"/>
              </w:rPr>
              <w:t>目标公司</w:t>
            </w:r>
            <w:r w:rsidRPr="006E7CFA">
              <w:rPr>
                <w:rFonts w:ascii="宋体" w:hAnsi="宋体"/>
                <w:color w:val="000000"/>
                <w:sz w:val="24"/>
              </w:rPr>
              <w:t>2</w:t>
            </w:r>
            <w:r w:rsidRPr="006E7CFA">
              <w:rPr>
                <w:rFonts w:ascii="宋体" w:hAnsi="宋体" w:hint="eastAsia"/>
                <w:color w:val="000000"/>
                <w:sz w:val="24"/>
              </w:rPr>
              <w:t>0</w:t>
            </w:r>
            <w:r w:rsidRPr="006E7CFA">
              <w:rPr>
                <w:rFonts w:ascii="宋体" w:hAnsi="宋体"/>
                <w:color w:val="000000"/>
                <w:sz w:val="24"/>
              </w:rPr>
              <w:t>%的</w:t>
            </w:r>
            <w:r w:rsidRPr="006E7CFA">
              <w:rPr>
                <w:rFonts w:ascii="宋体" w:hAnsi="宋体" w:hint="eastAsia"/>
                <w:color w:val="000000"/>
                <w:sz w:val="24"/>
              </w:rPr>
              <w:t>股权</w:t>
            </w:r>
            <w:r w:rsidRPr="006E7CFA">
              <w:rPr>
                <w:rFonts w:ascii="宋体" w:hAnsi="宋体" w:hint="eastAsia"/>
                <w:bCs/>
                <w:color w:val="000000"/>
                <w:sz w:val="24"/>
              </w:rPr>
              <w:t>，而法电集团将保留</w:t>
            </w:r>
            <w:r w:rsidR="00801170">
              <w:rPr>
                <w:rFonts w:ascii="宋体" w:hAnsi="宋体" w:hint="eastAsia"/>
                <w:bCs/>
                <w:color w:val="000000"/>
                <w:sz w:val="24"/>
              </w:rPr>
              <w:t>并间接持有</w:t>
            </w:r>
            <w:r w:rsidRPr="006E7CFA">
              <w:rPr>
                <w:rFonts w:ascii="宋体" w:hAnsi="宋体" w:hint="eastAsia"/>
                <w:bCs/>
                <w:color w:val="000000"/>
                <w:sz w:val="24"/>
              </w:rPr>
              <w:t>目标公司剩余60%的股权</w:t>
            </w:r>
            <w:r w:rsidRPr="006E7CFA">
              <w:rPr>
                <w:rFonts w:ascii="宋体" w:hAnsi="宋体"/>
                <w:bCs/>
                <w:color w:val="000000"/>
                <w:sz w:val="24"/>
              </w:rPr>
              <w:t>。</w:t>
            </w:r>
            <w:r w:rsidRPr="006E7CFA">
              <w:rPr>
                <w:rFonts w:ascii="宋体" w:hAnsi="宋体"/>
                <w:color w:val="000000"/>
                <w:sz w:val="24"/>
              </w:rPr>
              <w:t>CPP Investments</w:t>
            </w:r>
            <w:r w:rsidRPr="006E7CFA">
              <w:rPr>
                <w:rFonts w:ascii="宋体" w:hAnsi="宋体" w:hint="eastAsia"/>
                <w:color w:val="000000"/>
                <w:sz w:val="24"/>
              </w:rPr>
              <w:t>、</w:t>
            </w:r>
            <w:r w:rsidRPr="006E7CFA">
              <w:rPr>
                <w:rFonts w:ascii="宋体" w:hAnsi="宋体"/>
                <w:color w:val="000000"/>
                <w:sz w:val="24"/>
              </w:rPr>
              <w:t>英桥</w:t>
            </w:r>
            <w:r w:rsidRPr="006E7CFA">
              <w:rPr>
                <w:rFonts w:ascii="宋体" w:hAnsi="宋体" w:hint="eastAsia"/>
                <w:color w:val="000000"/>
                <w:sz w:val="24"/>
              </w:rPr>
              <w:t>和</w:t>
            </w:r>
            <w:r w:rsidRPr="006E7CFA">
              <w:rPr>
                <w:rFonts w:ascii="宋体" w:hAnsi="宋体" w:hint="eastAsia"/>
                <w:bCs/>
                <w:color w:val="000000"/>
                <w:sz w:val="24"/>
              </w:rPr>
              <w:t>法电集团将</w:t>
            </w:r>
            <w:r w:rsidRPr="006E7CFA">
              <w:rPr>
                <w:rFonts w:ascii="宋体" w:hAnsi="宋体"/>
                <w:bCs/>
                <w:color w:val="000000"/>
                <w:sz w:val="24"/>
              </w:rPr>
              <w:t>共同</w:t>
            </w:r>
            <w:r w:rsidRPr="006E7CFA">
              <w:rPr>
                <w:rFonts w:ascii="宋体" w:hAnsi="宋体"/>
                <w:color w:val="000000"/>
                <w:sz w:val="24"/>
              </w:rPr>
              <w:t>控制</w:t>
            </w:r>
            <w:r w:rsidRPr="006E7CFA">
              <w:rPr>
                <w:rFonts w:ascii="宋体" w:hAnsi="宋体" w:hint="eastAsia"/>
                <w:color w:val="000000"/>
                <w:sz w:val="24"/>
              </w:rPr>
              <w:t>目标公司</w:t>
            </w:r>
            <w:r w:rsidRPr="006E7CFA">
              <w:rPr>
                <w:rFonts w:ascii="宋体" w:hAnsi="宋体"/>
                <w:color w:val="000000"/>
                <w:sz w:val="24"/>
              </w:rPr>
              <w:t>。</w:t>
            </w:r>
          </w:p>
        </w:tc>
      </w:tr>
      <w:tr w:rsidR="002A6B44" w:rsidRPr="006E7CFA" w14:paraId="560A0FD1" w14:textId="77777777" w:rsidTr="2A98A1F1">
        <w:trPr>
          <w:trHeight w:val="468"/>
        </w:trPr>
        <w:tc>
          <w:tcPr>
            <w:tcW w:w="183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8CC7EA" w14:textId="36FA4672" w:rsidR="002A6B44" w:rsidRPr="006E7CFA" w:rsidRDefault="002A6B44" w:rsidP="00977CC5">
            <w:pPr>
              <w:snapToGrid w:val="0"/>
              <w:rPr>
                <w:rFonts w:ascii="宋体" w:hAnsi="宋体" w:hint="eastAsia"/>
                <w:color w:val="333333"/>
                <w:kern w:val="0"/>
                <w:sz w:val="24"/>
                <w:szCs w:val="24"/>
              </w:rPr>
            </w:pPr>
            <w:r w:rsidRPr="006E7CFA">
              <w:rPr>
                <w:rFonts w:ascii="宋体" w:hAnsi="宋体" w:hint="eastAsia"/>
                <w:color w:val="333333"/>
                <w:kern w:val="0"/>
                <w:sz w:val="24"/>
                <w:szCs w:val="24"/>
              </w:rPr>
              <w:t>参与集中的经营者简介（每个限100字以内）</w:t>
            </w:r>
          </w:p>
        </w:tc>
        <w:tc>
          <w:tcPr>
            <w:tcW w:w="2126" w:type="dxa"/>
          </w:tcPr>
          <w:p w14:paraId="05DE66A1" w14:textId="05DBE84E" w:rsidR="002A6B44" w:rsidRPr="006E7CFA" w:rsidRDefault="002A6B44" w:rsidP="002A6B44">
            <w:pPr>
              <w:widowControl/>
              <w:snapToGrid w:val="0"/>
              <w:jc w:val="left"/>
              <w:rPr>
                <w:rFonts w:ascii="宋体" w:hAnsi="宋体" w:hint="eastAsia"/>
                <w:sz w:val="24"/>
                <w:szCs w:val="24"/>
              </w:rPr>
            </w:pPr>
            <w:r w:rsidRPr="006E7CFA">
              <w:rPr>
                <w:rFonts w:ascii="宋体" w:hAnsi="宋体" w:hint="eastAsia"/>
                <w:sz w:val="24"/>
                <w:szCs w:val="24"/>
              </w:rPr>
              <w:t>1. CPP Investments</w:t>
            </w:r>
          </w:p>
        </w:tc>
        <w:tc>
          <w:tcPr>
            <w:tcW w:w="4794" w:type="dxa"/>
          </w:tcPr>
          <w:p w14:paraId="2F7D6107" w14:textId="6D70986C" w:rsidR="005E0D02" w:rsidRPr="006E7CFA" w:rsidRDefault="002A6B44" w:rsidP="002A6B44">
            <w:pPr>
              <w:snapToGrid w:val="0"/>
              <w:rPr>
                <w:rFonts w:ascii="宋体" w:hAnsi="宋体" w:hint="eastAsia"/>
                <w:sz w:val="24"/>
                <w:szCs w:val="24"/>
              </w:rPr>
            </w:pPr>
            <w:r w:rsidRPr="006E7CFA">
              <w:rPr>
                <w:rFonts w:ascii="宋体" w:hAnsi="宋体" w:hint="eastAsia"/>
                <w:sz w:val="24"/>
                <w:szCs w:val="24"/>
              </w:rPr>
              <w:t>CPP Investments于1997年12月18日成立于加拿大。CPP Investments是一家专业投资管理机构，投资于公共股权、私募股权、不动产、基础设施和固定收益证券领域。</w:t>
            </w:r>
          </w:p>
          <w:p w14:paraId="4013E377" w14:textId="302E3783" w:rsidR="002A6B44" w:rsidRPr="006E7CFA" w:rsidRDefault="002A6B44" w:rsidP="002A6B44">
            <w:pPr>
              <w:snapToGrid w:val="0"/>
              <w:rPr>
                <w:rFonts w:ascii="宋体" w:hAnsi="宋体" w:hint="eastAsia"/>
                <w:sz w:val="24"/>
                <w:szCs w:val="24"/>
              </w:rPr>
            </w:pPr>
            <w:r w:rsidRPr="006E7CFA">
              <w:rPr>
                <w:rFonts w:ascii="宋体" w:hAnsi="宋体" w:hint="eastAsia"/>
                <w:sz w:val="24"/>
                <w:szCs w:val="24"/>
              </w:rPr>
              <w:t>CPP Investments无最终控制人。</w:t>
            </w:r>
          </w:p>
        </w:tc>
      </w:tr>
      <w:tr w:rsidR="005E0D02" w:rsidRPr="006E7CFA" w14:paraId="47B7BBFC" w14:textId="77777777" w:rsidTr="005E0D02">
        <w:trPr>
          <w:trHeight w:val="170"/>
        </w:trPr>
        <w:tc>
          <w:tcPr>
            <w:tcW w:w="1838" w:type="dxa"/>
            <w:vMerge/>
          </w:tcPr>
          <w:p w14:paraId="7C3E6D24" w14:textId="77777777" w:rsidR="005E0D02" w:rsidRPr="006E7CFA" w:rsidRDefault="005E0D02" w:rsidP="005E0D02">
            <w:pPr>
              <w:snapToGrid w:val="0"/>
              <w:rPr>
                <w:rFonts w:ascii="宋体" w:hAnsi="宋体" w:hint="eastAsia"/>
                <w:sz w:val="24"/>
                <w:szCs w:val="24"/>
              </w:rPr>
            </w:pPr>
          </w:p>
        </w:tc>
        <w:tc>
          <w:tcPr>
            <w:tcW w:w="2126" w:type="dxa"/>
            <w:tcBorders>
              <w:left w:val="single" w:sz="4" w:space="0" w:color="auto"/>
            </w:tcBorders>
          </w:tcPr>
          <w:p w14:paraId="01EDFF42" w14:textId="4578BCED" w:rsidR="005E0D02" w:rsidRPr="006E7CFA" w:rsidRDefault="005E0D02" w:rsidP="005E0D02">
            <w:pPr>
              <w:snapToGrid w:val="0"/>
              <w:rPr>
                <w:rFonts w:ascii="宋体" w:hAnsi="宋体" w:hint="eastAsia"/>
                <w:sz w:val="24"/>
                <w:szCs w:val="24"/>
              </w:rPr>
            </w:pPr>
            <w:r w:rsidRPr="006E7CFA">
              <w:rPr>
                <w:rFonts w:ascii="宋体" w:hAnsi="宋体" w:hint="eastAsia"/>
                <w:color w:val="000000"/>
                <w:sz w:val="24"/>
              </w:rPr>
              <w:t>2</w:t>
            </w:r>
            <w:r w:rsidRPr="006E7CFA">
              <w:rPr>
                <w:rFonts w:ascii="宋体" w:hAnsi="宋体"/>
                <w:color w:val="000000"/>
                <w:sz w:val="24"/>
              </w:rPr>
              <w:t>.</w:t>
            </w:r>
            <w:r w:rsidRPr="006E7CFA">
              <w:rPr>
                <w:rFonts w:ascii="宋体" w:hAnsi="宋体" w:hint="eastAsia"/>
                <w:color w:val="000000"/>
                <w:sz w:val="24"/>
              </w:rPr>
              <w:t>英桥</w:t>
            </w:r>
          </w:p>
        </w:tc>
        <w:tc>
          <w:tcPr>
            <w:tcW w:w="4794" w:type="dxa"/>
            <w:vAlign w:val="center"/>
          </w:tcPr>
          <w:p w14:paraId="19004D35" w14:textId="597A9988" w:rsidR="005E0D02" w:rsidRPr="006E7CFA" w:rsidRDefault="005E0D02" w:rsidP="006E7CFA">
            <w:pPr>
              <w:snapToGrid w:val="0"/>
              <w:contextualSpacing/>
              <w:rPr>
                <w:rFonts w:ascii="宋体" w:hAnsi="宋体" w:hint="eastAsia"/>
                <w:color w:val="000000"/>
                <w:sz w:val="24"/>
              </w:rPr>
            </w:pPr>
            <w:r w:rsidRPr="006E7CFA">
              <w:rPr>
                <w:rFonts w:ascii="宋体" w:hAnsi="宋体"/>
                <w:color w:val="000000"/>
                <w:sz w:val="24"/>
              </w:rPr>
              <w:t>英桥于1970年4月13日成立于加拿大，为纽约证券交易所</w:t>
            </w:r>
            <w:r w:rsidRPr="006E7CFA">
              <w:rPr>
                <w:rFonts w:ascii="宋体" w:hAnsi="宋体" w:hint="eastAsia"/>
                <w:bCs/>
                <w:color w:val="000000"/>
                <w:sz w:val="24"/>
              </w:rPr>
              <w:t>、</w:t>
            </w:r>
            <w:r w:rsidRPr="006E7CFA">
              <w:rPr>
                <w:rFonts w:ascii="宋体" w:hAnsi="宋体"/>
                <w:color w:val="000000"/>
                <w:sz w:val="24"/>
              </w:rPr>
              <w:t>多伦多证券交易所上市公司。英桥主要从事液体管道</w:t>
            </w:r>
            <w:r w:rsidRPr="006E7CFA">
              <w:rPr>
                <w:rFonts w:ascii="宋体" w:hAnsi="宋体" w:hint="eastAsia"/>
                <w:bCs/>
                <w:color w:val="000000"/>
                <w:sz w:val="24"/>
              </w:rPr>
              <w:t>、</w:t>
            </w:r>
            <w:r w:rsidRPr="006E7CFA">
              <w:rPr>
                <w:rFonts w:ascii="宋体" w:hAnsi="宋体"/>
                <w:color w:val="000000"/>
                <w:sz w:val="24"/>
              </w:rPr>
              <w:t>天然气</w:t>
            </w:r>
            <w:r w:rsidR="001158B8">
              <w:rPr>
                <w:rFonts w:ascii="宋体" w:hAnsi="宋体" w:hint="eastAsia"/>
                <w:color w:val="000000"/>
                <w:sz w:val="24"/>
              </w:rPr>
              <w:t>输送</w:t>
            </w:r>
            <w:r w:rsidRPr="006E7CFA">
              <w:rPr>
                <w:rFonts w:ascii="宋体" w:hAnsi="宋体" w:hint="eastAsia"/>
                <w:bCs/>
                <w:color w:val="000000"/>
                <w:sz w:val="24"/>
              </w:rPr>
              <w:t>、</w:t>
            </w:r>
            <w:r w:rsidRPr="006E7CFA">
              <w:rPr>
                <w:rFonts w:ascii="宋体" w:hAnsi="宋体"/>
                <w:color w:val="000000"/>
                <w:sz w:val="24"/>
              </w:rPr>
              <w:t>天然气</w:t>
            </w:r>
            <w:r w:rsidR="00F10505">
              <w:rPr>
                <w:rFonts w:ascii="宋体" w:hAnsi="宋体" w:hint="eastAsia"/>
                <w:color w:val="000000"/>
                <w:sz w:val="24"/>
              </w:rPr>
              <w:t>分销</w:t>
            </w:r>
            <w:r w:rsidRPr="006E7CFA">
              <w:rPr>
                <w:rFonts w:ascii="宋体" w:hAnsi="宋体"/>
                <w:color w:val="000000"/>
                <w:sz w:val="24"/>
              </w:rPr>
              <w:t>和储存</w:t>
            </w:r>
            <w:r w:rsidRPr="006E7CFA">
              <w:rPr>
                <w:rFonts w:ascii="宋体" w:hAnsi="宋体" w:hint="eastAsia"/>
                <w:bCs/>
                <w:color w:val="000000"/>
                <w:sz w:val="24"/>
              </w:rPr>
              <w:t>、</w:t>
            </w:r>
            <w:r w:rsidRPr="006E7CFA">
              <w:rPr>
                <w:rFonts w:ascii="宋体" w:hAnsi="宋体"/>
                <w:color w:val="000000"/>
                <w:sz w:val="24"/>
              </w:rPr>
              <w:t>可再生能源</w:t>
            </w:r>
            <w:r w:rsidR="006D2AD4">
              <w:rPr>
                <w:rFonts w:ascii="宋体" w:hAnsi="宋体" w:hint="eastAsia"/>
                <w:color w:val="000000"/>
                <w:sz w:val="24"/>
              </w:rPr>
              <w:t>发电</w:t>
            </w:r>
            <w:r w:rsidRPr="006E7CFA">
              <w:rPr>
                <w:rFonts w:ascii="宋体" w:hAnsi="宋体" w:hint="eastAsia"/>
                <w:bCs/>
                <w:color w:val="000000"/>
                <w:sz w:val="24"/>
              </w:rPr>
              <w:t>业务</w:t>
            </w:r>
            <w:r w:rsidRPr="006E7CFA">
              <w:rPr>
                <w:rFonts w:ascii="宋体" w:hAnsi="宋体"/>
                <w:color w:val="000000"/>
                <w:sz w:val="24"/>
              </w:rPr>
              <w:t>。</w:t>
            </w:r>
          </w:p>
          <w:p w14:paraId="22664026" w14:textId="3B9EBAE1" w:rsidR="005E0D02" w:rsidRPr="006E7CFA" w:rsidRDefault="005E0D02" w:rsidP="005E0D02">
            <w:pPr>
              <w:snapToGrid w:val="0"/>
              <w:rPr>
                <w:rFonts w:ascii="宋体" w:hAnsi="宋体" w:hint="eastAsia"/>
                <w:sz w:val="24"/>
                <w:szCs w:val="24"/>
                <w:lang w:val="en-GB"/>
              </w:rPr>
            </w:pPr>
            <w:r w:rsidRPr="006E7CFA">
              <w:rPr>
                <w:rFonts w:ascii="宋体" w:hAnsi="宋体" w:hint="eastAsia"/>
                <w:sz w:val="24"/>
                <w:lang w:val="en-GB"/>
              </w:rPr>
              <w:t>英桥无最终控制人。</w:t>
            </w:r>
          </w:p>
        </w:tc>
      </w:tr>
      <w:tr w:rsidR="005E0D02" w:rsidRPr="006E7CFA" w14:paraId="204ACF01" w14:textId="77777777" w:rsidTr="005E0D02">
        <w:trPr>
          <w:trHeight w:val="170"/>
        </w:trPr>
        <w:tc>
          <w:tcPr>
            <w:tcW w:w="1838" w:type="dxa"/>
            <w:vMerge/>
          </w:tcPr>
          <w:p w14:paraId="427BC21B" w14:textId="77777777" w:rsidR="005E0D02" w:rsidRPr="006E7CFA" w:rsidRDefault="005E0D02" w:rsidP="005E0D02">
            <w:pPr>
              <w:snapToGrid w:val="0"/>
              <w:rPr>
                <w:rFonts w:ascii="宋体" w:hAnsi="宋体" w:hint="eastAsia"/>
                <w:sz w:val="24"/>
                <w:szCs w:val="24"/>
              </w:rPr>
            </w:pPr>
          </w:p>
        </w:tc>
        <w:tc>
          <w:tcPr>
            <w:tcW w:w="2126" w:type="dxa"/>
            <w:tcBorders>
              <w:left w:val="single" w:sz="4" w:space="0" w:color="auto"/>
            </w:tcBorders>
          </w:tcPr>
          <w:p w14:paraId="20D256E2" w14:textId="0DF4285C" w:rsidR="005E0D02" w:rsidRPr="006E7CFA" w:rsidRDefault="005E0D02" w:rsidP="005E0D02">
            <w:pPr>
              <w:snapToGrid w:val="0"/>
              <w:rPr>
                <w:rFonts w:ascii="宋体" w:hAnsi="宋体" w:hint="eastAsia"/>
                <w:sz w:val="24"/>
                <w:szCs w:val="24"/>
              </w:rPr>
            </w:pPr>
            <w:r w:rsidRPr="006E7CFA">
              <w:rPr>
                <w:rFonts w:ascii="宋体" w:hAnsi="宋体" w:hint="eastAsia"/>
                <w:color w:val="000000"/>
                <w:sz w:val="24"/>
              </w:rPr>
              <w:t>3</w:t>
            </w:r>
            <w:r w:rsidRPr="006E7CFA">
              <w:rPr>
                <w:rFonts w:ascii="宋体" w:hAnsi="宋体"/>
                <w:color w:val="000000"/>
                <w:sz w:val="24"/>
              </w:rPr>
              <w:t>.</w:t>
            </w:r>
            <w:r w:rsidRPr="006E7CFA">
              <w:rPr>
                <w:rFonts w:ascii="宋体" w:hAnsi="宋体" w:hint="eastAsia"/>
                <w:color w:val="000000"/>
                <w:sz w:val="24"/>
              </w:rPr>
              <w:t>法电集团</w:t>
            </w:r>
          </w:p>
        </w:tc>
        <w:tc>
          <w:tcPr>
            <w:tcW w:w="4794" w:type="dxa"/>
            <w:vAlign w:val="center"/>
          </w:tcPr>
          <w:p w14:paraId="1A97402E" w14:textId="3F53E53B" w:rsidR="005E0D02" w:rsidRPr="006E7CFA" w:rsidRDefault="005E0D02" w:rsidP="006E7CFA">
            <w:pPr>
              <w:adjustRightInd w:val="0"/>
              <w:snapToGrid w:val="0"/>
              <w:jc w:val="left"/>
              <w:rPr>
                <w:rFonts w:ascii="宋体" w:hAnsi="宋体" w:hint="eastAsia"/>
                <w:color w:val="000000"/>
                <w:sz w:val="24"/>
              </w:rPr>
            </w:pPr>
            <w:r w:rsidRPr="006E7CFA">
              <w:rPr>
                <w:rFonts w:ascii="宋体" w:hAnsi="宋体"/>
                <w:color w:val="000000"/>
                <w:sz w:val="24"/>
              </w:rPr>
              <w:t>法电集团于1946年4月8日成立于法国</w:t>
            </w:r>
            <w:r w:rsidRPr="006E7CFA">
              <w:rPr>
                <w:rFonts w:ascii="宋体" w:hAnsi="宋体" w:hint="eastAsia"/>
                <w:bCs/>
                <w:color w:val="000000"/>
                <w:sz w:val="24"/>
              </w:rPr>
              <w:t>，</w:t>
            </w:r>
            <w:r w:rsidRPr="006E7CFA">
              <w:rPr>
                <w:rFonts w:ascii="宋体" w:hAnsi="宋体"/>
                <w:bCs/>
                <w:color w:val="000000"/>
                <w:sz w:val="24"/>
              </w:rPr>
              <w:t>主要</w:t>
            </w:r>
            <w:r w:rsidRPr="006E7CFA">
              <w:rPr>
                <w:rFonts w:ascii="宋体" w:hAnsi="宋体" w:hint="eastAsia"/>
                <w:bCs/>
                <w:color w:val="000000"/>
                <w:sz w:val="24"/>
              </w:rPr>
              <w:t>从事</w:t>
            </w:r>
            <w:r w:rsidRPr="006E7CFA">
              <w:rPr>
                <w:rFonts w:ascii="宋体" w:hAnsi="宋体"/>
                <w:color w:val="000000"/>
                <w:sz w:val="24"/>
              </w:rPr>
              <w:t>发电、电力批发</w:t>
            </w:r>
            <w:r w:rsidRPr="006E7CFA">
              <w:rPr>
                <w:rFonts w:ascii="宋体" w:hAnsi="宋体" w:hint="eastAsia"/>
                <w:color w:val="000000"/>
                <w:sz w:val="24"/>
              </w:rPr>
              <w:t>及</w:t>
            </w:r>
            <w:r w:rsidRPr="006E7CFA">
              <w:rPr>
                <w:rFonts w:ascii="宋体" w:hAnsi="宋体"/>
                <w:color w:val="000000"/>
                <w:sz w:val="24"/>
              </w:rPr>
              <w:t>交易、输电、配电和供电</w:t>
            </w:r>
            <w:r w:rsidRPr="006E7CFA">
              <w:rPr>
                <w:rFonts w:ascii="宋体" w:hAnsi="宋体" w:hint="eastAsia"/>
                <w:bCs/>
                <w:color w:val="000000"/>
                <w:sz w:val="24"/>
              </w:rPr>
              <w:t>等</w:t>
            </w:r>
            <w:r w:rsidRPr="006E7CFA">
              <w:rPr>
                <w:rFonts w:ascii="宋体" w:hAnsi="宋体"/>
                <w:color w:val="000000"/>
                <w:sz w:val="24"/>
              </w:rPr>
              <w:t>领域</w:t>
            </w:r>
            <w:r w:rsidRPr="006E7CFA">
              <w:rPr>
                <w:rFonts w:ascii="宋体" w:hAnsi="宋体" w:hint="eastAsia"/>
                <w:bCs/>
                <w:color w:val="000000"/>
                <w:sz w:val="24"/>
              </w:rPr>
              <w:t>业务</w:t>
            </w:r>
            <w:r w:rsidRPr="006E7CFA">
              <w:rPr>
                <w:rFonts w:ascii="宋体" w:hAnsi="宋体"/>
                <w:color w:val="000000"/>
                <w:sz w:val="24"/>
              </w:rPr>
              <w:t>。</w:t>
            </w:r>
          </w:p>
          <w:p w14:paraId="405BE41C" w14:textId="3785F722" w:rsidR="005E0D02" w:rsidRPr="006E7CFA" w:rsidRDefault="005E0D02" w:rsidP="005E0D02">
            <w:pPr>
              <w:snapToGrid w:val="0"/>
              <w:rPr>
                <w:rFonts w:ascii="宋体" w:hAnsi="宋体" w:hint="eastAsia"/>
                <w:sz w:val="24"/>
                <w:szCs w:val="24"/>
                <w:lang w:val="en-GB"/>
              </w:rPr>
            </w:pPr>
            <w:r w:rsidRPr="006E7CFA">
              <w:rPr>
                <w:rFonts w:ascii="宋体" w:hAnsi="宋体"/>
                <w:color w:val="000000"/>
                <w:sz w:val="24"/>
              </w:rPr>
              <w:t>法电集团</w:t>
            </w:r>
            <w:r w:rsidRPr="006E7CFA">
              <w:rPr>
                <w:rFonts w:ascii="宋体" w:hAnsi="宋体"/>
                <w:bCs/>
                <w:color w:val="000000"/>
                <w:sz w:val="24"/>
              </w:rPr>
              <w:t>为</w:t>
            </w:r>
            <w:r w:rsidRPr="006E7CFA">
              <w:rPr>
                <w:rFonts w:ascii="宋体" w:hAnsi="宋体"/>
                <w:color w:val="000000"/>
                <w:sz w:val="24"/>
              </w:rPr>
              <w:t>法国政府</w:t>
            </w:r>
            <w:r w:rsidRPr="006E7CFA">
              <w:rPr>
                <w:rFonts w:ascii="宋体" w:hAnsi="宋体" w:hint="eastAsia"/>
                <w:bCs/>
                <w:color w:val="000000"/>
                <w:sz w:val="24"/>
              </w:rPr>
              <w:t>下属企业</w:t>
            </w:r>
            <w:r w:rsidRPr="006E7CFA">
              <w:rPr>
                <w:rFonts w:ascii="宋体" w:hAnsi="宋体"/>
                <w:color w:val="000000"/>
                <w:sz w:val="24"/>
              </w:rPr>
              <w:t>。</w:t>
            </w:r>
          </w:p>
        </w:tc>
      </w:tr>
      <w:tr w:rsidR="008702FE" w:rsidRPr="006E7CFA" w14:paraId="75FF9FF3" w14:textId="77777777" w:rsidTr="2A98A1F1">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39CA5" w14:textId="4BC81606" w:rsidR="008702FE" w:rsidRPr="006E7CFA" w:rsidRDefault="008702FE" w:rsidP="003231CB">
            <w:pPr>
              <w:snapToGrid w:val="0"/>
              <w:rPr>
                <w:rFonts w:ascii="宋体" w:hAnsi="宋体" w:hint="eastAsia"/>
                <w:sz w:val="24"/>
                <w:szCs w:val="24"/>
              </w:rPr>
            </w:pPr>
            <w:r w:rsidRPr="006E7CFA">
              <w:rPr>
                <w:rFonts w:ascii="宋体" w:hAnsi="宋体"/>
                <w:color w:val="333333"/>
                <w:kern w:val="0"/>
                <w:sz w:val="24"/>
                <w:szCs w:val="24"/>
              </w:rPr>
              <w:t>简易案件理由（可以单选，也可以多选）</w:t>
            </w:r>
          </w:p>
        </w:tc>
        <w:tc>
          <w:tcPr>
            <w:tcW w:w="6920" w:type="dxa"/>
            <w:gridSpan w:val="2"/>
          </w:tcPr>
          <w:p w14:paraId="7B8D4792" w14:textId="780F5AEB" w:rsidR="008702FE" w:rsidRPr="006E7CFA" w:rsidRDefault="008702FE" w:rsidP="003231CB">
            <w:pPr>
              <w:snapToGrid w:val="0"/>
              <w:rPr>
                <w:rFonts w:ascii="宋体" w:hAnsi="宋体" w:hint="eastAsia"/>
                <w:sz w:val="24"/>
                <w:szCs w:val="24"/>
              </w:rPr>
            </w:pPr>
            <w:r w:rsidRPr="006E7CFA">
              <w:rPr>
                <w:rFonts w:ascii="宋体" w:hAnsi="宋体"/>
                <w:sz w:val="24"/>
                <w:szCs w:val="24"/>
              </w:rPr>
              <w:t xml:space="preserve">□1. </w:t>
            </w:r>
            <w:r w:rsidR="00977CC5" w:rsidRPr="006E7CFA">
              <w:rPr>
                <w:rFonts w:ascii="宋体" w:hAnsi="宋体" w:hint="eastAsia"/>
                <w:sz w:val="24"/>
                <w:szCs w:val="24"/>
              </w:rPr>
              <w:t>在同一相关市场，参与集中的经营者所占的市场份额之和小于15%</w:t>
            </w:r>
            <w:r w:rsidRPr="006E7CFA">
              <w:rPr>
                <w:rFonts w:ascii="宋体" w:hAnsi="宋体"/>
                <w:sz w:val="24"/>
                <w:szCs w:val="24"/>
              </w:rPr>
              <w:t>。</w:t>
            </w:r>
          </w:p>
        </w:tc>
      </w:tr>
      <w:tr w:rsidR="008702FE" w:rsidRPr="006E7CFA" w14:paraId="133BF152" w14:textId="77777777" w:rsidTr="2A98A1F1">
        <w:trPr>
          <w:trHeight w:val="330"/>
        </w:trPr>
        <w:tc>
          <w:tcPr>
            <w:tcW w:w="1838" w:type="dxa"/>
            <w:vMerge/>
          </w:tcPr>
          <w:p w14:paraId="6AA82D7A" w14:textId="77777777" w:rsidR="008702FE" w:rsidRPr="006E7CFA" w:rsidRDefault="008702FE" w:rsidP="003231CB">
            <w:pPr>
              <w:snapToGrid w:val="0"/>
              <w:rPr>
                <w:rFonts w:ascii="宋体" w:hAnsi="宋体" w:hint="eastAsia"/>
                <w:sz w:val="24"/>
                <w:szCs w:val="24"/>
              </w:rPr>
            </w:pPr>
          </w:p>
        </w:tc>
        <w:tc>
          <w:tcPr>
            <w:tcW w:w="6920" w:type="dxa"/>
            <w:gridSpan w:val="2"/>
          </w:tcPr>
          <w:p w14:paraId="50E5996E" w14:textId="4A171669" w:rsidR="008702FE" w:rsidRPr="006E7CFA" w:rsidRDefault="008702FE" w:rsidP="003231CB">
            <w:pPr>
              <w:snapToGrid w:val="0"/>
              <w:rPr>
                <w:rFonts w:ascii="宋体" w:hAnsi="宋体" w:hint="eastAsia"/>
                <w:sz w:val="24"/>
                <w:szCs w:val="24"/>
              </w:rPr>
            </w:pPr>
            <w:r w:rsidRPr="006E7CFA">
              <w:rPr>
                <w:rFonts w:ascii="宋体" w:hAnsi="宋体"/>
                <w:sz w:val="24"/>
                <w:szCs w:val="24"/>
              </w:rPr>
              <w:t xml:space="preserve">□2. </w:t>
            </w:r>
            <w:r w:rsidR="00977CC5" w:rsidRPr="006E7CFA">
              <w:rPr>
                <w:rFonts w:ascii="宋体" w:hAnsi="宋体" w:hint="eastAsia"/>
                <w:sz w:val="24"/>
                <w:szCs w:val="24"/>
              </w:rPr>
              <w:t>在上下游市场，参与集中的经营者所占的市场份额均小于25%</w:t>
            </w:r>
            <w:r w:rsidRPr="006E7CFA">
              <w:rPr>
                <w:rFonts w:ascii="宋体" w:hAnsi="宋体"/>
                <w:sz w:val="24"/>
                <w:szCs w:val="24"/>
              </w:rPr>
              <w:t>。</w:t>
            </w:r>
          </w:p>
        </w:tc>
      </w:tr>
      <w:tr w:rsidR="008702FE" w:rsidRPr="006E7CFA" w14:paraId="47AF3B3F" w14:textId="77777777" w:rsidTr="2A98A1F1">
        <w:trPr>
          <w:trHeight w:val="285"/>
        </w:trPr>
        <w:tc>
          <w:tcPr>
            <w:tcW w:w="1838" w:type="dxa"/>
            <w:vMerge/>
          </w:tcPr>
          <w:p w14:paraId="7DA5A0E4" w14:textId="77777777" w:rsidR="008702FE" w:rsidRPr="006E7CFA" w:rsidRDefault="008702FE" w:rsidP="003231CB">
            <w:pPr>
              <w:snapToGrid w:val="0"/>
              <w:rPr>
                <w:rFonts w:ascii="宋体" w:hAnsi="宋体" w:hint="eastAsia"/>
                <w:sz w:val="24"/>
                <w:szCs w:val="24"/>
              </w:rPr>
            </w:pPr>
          </w:p>
        </w:tc>
        <w:tc>
          <w:tcPr>
            <w:tcW w:w="6920" w:type="dxa"/>
            <w:gridSpan w:val="2"/>
          </w:tcPr>
          <w:p w14:paraId="561A3D51" w14:textId="3C985708" w:rsidR="008702FE" w:rsidRPr="006E7CFA" w:rsidRDefault="005E0D02" w:rsidP="00977CC5">
            <w:pPr>
              <w:snapToGrid w:val="0"/>
              <w:rPr>
                <w:rFonts w:ascii="宋体" w:hAnsi="宋体" w:hint="eastAsia"/>
                <w:sz w:val="24"/>
                <w:szCs w:val="24"/>
              </w:rPr>
            </w:pPr>
            <w:r w:rsidRPr="006E7CFA">
              <w:rPr>
                <w:rFonts w:ascii="宋体" w:hAnsi="宋体"/>
                <w:sz w:val="24"/>
                <w:szCs w:val="24"/>
              </w:rPr>
              <w:t>□</w:t>
            </w:r>
            <w:r w:rsidR="008702FE" w:rsidRPr="006E7CFA">
              <w:rPr>
                <w:rFonts w:ascii="宋体" w:hAnsi="宋体"/>
                <w:sz w:val="24"/>
                <w:szCs w:val="24"/>
              </w:rPr>
              <w:t xml:space="preserve">3. </w:t>
            </w:r>
            <w:r w:rsidR="00977CC5" w:rsidRPr="006E7CFA">
              <w:rPr>
                <w:rFonts w:ascii="宋体" w:hAnsi="宋体" w:hint="eastAsia"/>
                <w:sz w:val="24"/>
                <w:szCs w:val="24"/>
              </w:rPr>
              <w:t>不在同一相关市场也不存在上下游关系的参与集中的经营者，在与交易有关的每个市场所占的市场份额均小于25%</w:t>
            </w:r>
            <w:r w:rsidR="008702FE" w:rsidRPr="006E7CFA">
              <w:rPr>
                <w:rFonts w:ascii="宋体" w:hAnsi="宋体"/>
                <w:sz w:val="24"/>
                <w:szCs w:val="24"/>
              </w:rPr>
              <w:t>。</w:t>
            </w:r>
          </w:p>
        </w:tc>
      </w:tr>
      <w:tr w:rsidR="008702FE" w:rsidRPr="006E7CFA" w14:paraId="6801D3B3" w14:textId="77777777" w:rsidTr="2A98A1F1">
        <w:trPr>
          <w:trHeight w:val="699"/>
        </w:trPr>
        <w:tc>
          <w:tcPr>
            <w:tcW w:w="1838" w:type="dxa"/>
            <w:vMerge/>
          </w:tcPr>
          <w:p w14:paraId="2880AC2A" w14:textId="77777777" w:rsidR="008702FE" w:rsidRPr="006E7CFA" w:rsidRDefault="008702FE" w:rsidP="003231CB">
            <w:pPr>
              <w:snapToGrid w:val="0"/>
              <w:rPr>
                <w:rFonts w:ascii="宋体" w:hAnsi="宋体" w:hint="eastAsia"/>
                <w:sz w:val="24"/>
                <w:szCs w:val="24"/>
              </w:rPr>
            </w:pPr>
          </w:p>
        </w:tc>
        <w:tc>
          <w:tcPr>
            <w:tcW w:w="6920" w:type="dxa"/>
            <w:gridSpan w:val="2"/>
          </w:tcPr>
          <w:p w14:paraId="6B599DA6" w14:textId="19D94865" w:rsidR="008702FE" w:rsidRPr="006E7CFA" w:rsidRDefault="008702FE" w:rsidP="00977CC5">
            <w:pPr>
              <w:snapToGrid w:val="0"/>
              <w:rPr>
                <w:rFonts w:ascii="宋体" w:hAnsi="宋体" w:hint="eastAsia"/>
                <w:bCs/>
                <w:sz w:val="24"/>
                <w:szCs w:val="24"/>
              </w:rPr>
            </w:pPr>
            <w:r w:rsidRPr="006E7CFA">
              <w:rPr>
                <w:rFonts w:ascii="宋体" w:hAnsi="宋体"/>
                <w:sz w:val="24"/>
                <w:szCs w:val="24"/>
              </w:rPr>
              <w:t>□</w:t>
            </w:r>
            <w:r w:rsidRPr="006E7CFA">
              <w:rPr>
                <w:rFonts w:ascii="宋体" w:hAnsi="宋体"/>
                <w:bCs/>
                <w:sz w:val="24"/>
                <w:szCs w:val="24"/>
              </w:rPr>
              <w:t xml:space="preserve">4. </w:t>
            </w:r>
            <w:r w:rsidR="00977CC5" w:rsidRPr="006E7CFA">
              <w:rPr>
                <w:rFonts w:ascii="宋体" w:hAnsi="宋体" w:hint="eastAsia"/>
                <w:bCs/>
                <w:sz w:val="24"/>
                <w:szCs w:val="24"/>
              </w:rPr>
              <w:t>参与集中的经营者在中国境外设立合营企业，合营企业不在中国境内从事经济活动</w:t>
            </w:r>
            <w:r w:rsidRPr="006E7CFA">
              <w:rPr>
                <w:rFonts w:ascii="宋体" w:hAnsi="宋体"/>
                <w:bCs/>
                <w:sz w:val="24"/>
                <w:szCs w:val="24"/>
              </w:rPr>
              <w:t>。</w:t>
            </w:r>
          </w:p>
        </w:tc>
      </w:tr>
      <w:tr w:rsidR="008702FE" w:rsidRPr="006E7CFA" w14:paraId="2B0B3023" w14:textId="77777777" w:rsidTr="2A98A1F1">
        <w:trPr>
          <w:trHeight w:val="264"/>
        </w:trPr>
        <w:tc>
          <w:tcPr>
            <w:tcW w:w="1838" w:type="dxa"/>
            <w:vMerge/>
          </w:tcPr>
          <w:p w14:paraId="29237789" w14:textId="77777777" w:rsidR="008702FE" w:rsidRPr="006E7CFA" w:rsidRDefault="008702FE" w:rsidP="003231CB">
            <w:pPr>
              <w:snapToGrid w:val="0"/>
              <w:rPr>
                <w:rFonts w:ascii="宋体" w:hAnsi="宋体" w:hint="eastAsia"/>
                <w:sz w:val="24"/>
                <w:szCs w:val="24"/>
              </w:rPr>
            </w:pPr>
          </w:p>
        </w:tc>
        <w:tc>
          <w:tcPr>
            <w:tcW w:w="6920" w:type="dxa"/>
            <w:gridSpan w:val="2"/>
          </w:tcPr>
          <w:p w14:paraId="50AD7FC3" w14:textId="34D86A3E" w:rsidR="008702FE" w:rsidRPr="006E7CFA" w:rsidRDefault="006E7CFA" w:rsidP="00977CC5">
            <w:pPr>
              <w:snapToGrid w:val="0"/>
              <w:rPr>
                <w:rFonts w:ascii="宋体" w:hAnsi="宋体" w:hint="eastAsia"/>
                <w:sz w:val="24"/>
                <w:szCs w:val="24"/>
              </w:rPr>
            </w:pPr>
            <w:r w:rsidRPr="002D4725">
              <w:rPr>
                <w:rFonts w:ascii="Wingdings" w:eastAsia="Wingdings" w:hAnsi="Wingdings" w:cs="Wingdings"/>
                <w:sz w:val="24"/>
                <w:szCs w:val="24"/>
              </w:rPr>
              <w:t>þ</w:t>
            </w:r>
            <w:r w:rsidR="008702FE" w:rsidRPr="006E7CFA">
              <w:rPr>
                <w:rFonts w:ascii="宋体" w:hAnsi="宋体"/>
                <w:sz w:val="24"/>
                <w:szCs w:val="24"/>
              </w:rPr>
              <w:t xml:space="preserve">5. </w:t>
            </w:r>
            <w:r w:rsidR="00977CC5" w:rsidRPr="006E7CFA">
              <w:rPr>
                <w:rFonts w:ascii="宋体" w:hAnsi="宋体" w:hint="eastAsia"/>
                <w:sz w:val="24"/>
                <w:szCs w:val="24"/>
              </w:rPr>
              <w:t>参与集中的经营者收购境外企业股权或资产的，该境外企业不在中国境内从事经济活动。</w:t>
            </w:r>
          </w:p>
        </w:tc>
      </w:tr>
      <w:tr w:rsidR="008702FE" w:rsidRPr="006E7CFA" w14:paraId="61B008FE" w14:textId="77777777" w:rsidTr="2A98A1F1">
        <w:trPr>
          <w:trHeight w:val="345"/>
        </w:trPr>
        <w:tc>
          <w:tcPr>
            <w:tcW w:w="1838" w:type="dxa"/>
            <w:vMerge/>
          </w:tcPr>
          <w:p w14:paraId="67426F73" w14:textId="77777777" w:rsidR="008702FE" w:rsidRPr="006E7CFA" w:rsidRDefault="008702FE" w:rsidP="003231CB">
            <w:pPr>
              <w:snapToGrid w:val="0"/>
              <w:rPr>
                <w:rFonts w:ascii="宋体" w:hAnsi="宋体" w:hint="eastAsia"/>
                <w:sz w:val="24"/>
                <w:szCs w:val="24"/>
              </w:rPr>
            </w:pPr>
          </w:p>
        </w:tc>
        <w:tc>
          <w:tcPr>
            <w:tcW w:w="6920" w:type="dxa"/>
            <w:gridSpan w:val="2"/>
          </w:tcPr>
          <w:p w14:paraId="7ABA8C94" w14:textId="25A8E1B8" w:rsidR="008702FE" w:rsidRPr="006E7CFA" w:rsidRDefault="008702FE" w:rsidP="00977CC5">
            <w:pPr>
              <w:snapToGrid w:val="0"/>
              <w:rPr>
                <w:rFonts w:ascii="宋体" w:hAnsi="宋体" w:hint="eastAsia"/>
                <w:sz w:val="24"/>
                <w:szCs w:val="24"/>
              </w:rPr>
            </w:pPr>
            <w:r w:rsidRPr="006E7CFA">
              <w:rPr>
                <w:rFonts w:ascii="宋体" w:hAnsi="宋体"/>
                <w:sz w:val="24"/>
                <w:szCs w:val="24"/>
              </w:rPr>
              <w:t xml:space="preserve">□6. </w:t>
            </w:r>
            <w:r w:rsidR="00977CC5" w:rsidRPr="006E7CFA">
              <w:rPr>
                <w:rFonts w:ascii="宋体" w:hAnsi="宋体" w:hint="eastAsia"/>
                <w:sz w:val="24"/>
                <w:szCs w:val="24"/>
              </w:rPr>
              <w:t>由两个以上的经营者共同控制的合营企业，通过集中被其中一个或一个以上经营者控制</w:t>
            </w:r>
            <w:r w:rsidRPr="006E7CFA">
              <w:rPr>
                <w:rFonts w:ascii="宋体" w:hAnsi="宋体"/>
                <w:sz w:val="24"/>
                <w:szCs w:val="24"/>
              </w:rPr>
              <w:t>。</w:t>
            </w:r>
          </w:p>
        </w:tc>
      </w:tr>
      <w:tr w:rsidR="008702FE" w:rsidRPr="006E7CFA" w14:paraId="4F7BEE97" w14:textId="77777777" w:rsidTr="2A98A1F1">
        <w:tc>
          <w:tcPr>
            <w:tcW w:w="1838" w:type="dxa"/>
            <w:shd w:val="clear" w:color="auto" w:fill="D9D9D9" w:themeFill="background1" w:themeFillShade="D9"/>
          </w:tcPr>
          <w:p w14:paraId="3955E299" w14:textId="4F3B110B" w:rsidR="008702FE" w:rsidRPr="006E7CFA" w:rsidRDefault="008702FE" w:rsidP="003231CB">
            <w:pPr>
              <w:snapToGrid w:val="0"/>
              <w:rPr>
                <w:rFonts w:ascii="宋体" w:hAnsi="宋体" w:hint="eastAsia"/>
                <w:sz w:val="24"/>
                <w:szCs w:val="24"/>
              </w:rPr>
            </w:pPr>
            <w:r w:rsidRPr="006E7CFA">
              <w:rPr>
                <w:rFonts w:ascii="宋体" w:hAnsi="宋体"/>
                <w:sz w:val="24"/>
                <w:szCs w:val="24"/>
              </w:rPr>
              <w:t>备注</w:t>
            </w:r>
          </w:p>
        </w:tc>
        <w:tc>
          <w:tcPr>
            <w:tcW w:w="6920" w:type="dxa"/>
            <w:gridSpan w:val="2"/>
          </w:tcPr>
          <w:p w14:paraId="2EE2D7C2" w14:textId="7B0E0E9B" w:rsidR="002D4725" w:rsidRPr="006E7CFA" w:rsidRDefault="005E0D02" w:rsidP="00977CC5">
            <w:pPr>
              <w:adjustRightInd w:val="0"/>
              <w:snapToGrid w:val="0"/>
              <w:rPr>
                <w:rFonts w:ascii="宋体" w:hAnsi="宋体" w:hint="eastAsia"/>
                <w:bCs/>
                <w:color w:val="000000"/>
                <w:sz w:val="24"/>
                <w:szCs w:val="24"/>
              </w:rPr>
            </w:pPr>
            <w:r w:rsidRPr="006E7CFA">
              <w:rPr>
                <w:rFonts w:ascii="宋体" w:hAnsi="宋体" w:hint="eastAsia"/>
                <w:bCs/>
                <w:color w:val="000000"/>
                <w:sz w:val="24"/>
                <w:szCs w:val="24"/>
              </w:rPr>
              <w:t>不适用</w:t>
            </w:r>
          </w:p>
        </w:tc>
      </w:tr>
    </w:tbl>
    <w:p w14:paraId="70C98F55" w14:textId="77777777" w:rsidR="00B27B0C" w:rsidRPr="00C04F86" w:rsidRDefault="00B27B0C" w:rsidP="00642395">
      <w:pPr>
        <w:pStyle w:val="a3"/>
        <w:rPr>
          <w:rFonts w:ascii="宋体" w:hAnsi="宋体" w:hint="eastAsia"/>
          <w:sz w:val="24"/>
          <w:szCs w:val="24"/>
        </w:rPr>
      </w:pPr>
    </w:p>
    <w:sectPr w:rsidR="00B27B0C" w:rsidRPr="00C04F86">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4EC9" w14:textId="77777777" w:rsidR="00E41837" w:rsidRDefault="00E41837" w:rsidP="008D4C61">
      <w:r>
        <w:separator/>
      </w:r>
    </w:p>
  </w:endnote>
  <w:endnote w:type="continuationSeparator" w:id="0">
    <w:p w14:paraId="0615AEC5" w14:textId="77777777" w:rsidR="00E41837" w:rsidRDefault="00E41837" w:rsidP="008D4C61">
      <w:r>
        <w:continuationSeparator/>
      </w:r>
    </w:p>
  </w:endnote>
  <w:endnote w:type="continuationNotice" w:id="1">
    <w:p w14:paraId="577C547F" w14:textId="77777777" w:rsidR="00E41837" w:rsidRDefault="00E41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4890448"/>
      <w:docPartObj>
        <w:docPartGallery w:val="Page Numbers (Bottom of Page)"/>
        <w:docPartUnique/>
      </w:docPartObj>
    </w:sdtPr>
    <w:sdtEndPr>
      <w:rPr>
        <w:rFonts w:ascii="Times New Roman" w:hAnsi="Times New Roman"/>
        <w:noProof/>
      </w:rPr>
    </w:sdtEndPr>
    <w:sdtContent>
      <w:p w14:paraId="7F5BC107" w14:textId="67A83E24" w:rsidR="002249C6" w:rsidRPr="00FF288E" w:rsidRDefault="002249C6">
        <w:pPr>
          <w:pStyle w:val="a9"/>
          <w:jc w:val="center"/>
          <w:rPr>
            <w:rFonts w:ascii="Times New Roman" w:hAnsi="Times New Roman"/>
            <w:sz w:val="16"/>
            <w:szCs w:val="16"/>
          </w:rPr>
        </w:pPr>
        <w:r w:rsidRPr="00FF288E">
          <w:rPr>
            <w:rFonts w:ascii="Times New Roman" w:hAnsi="Times New Roman"/>
            <w:sz w:val="16"/>
            <w:szCs w:val="16"/>
          </w:rPr>
          <w:fldChar w:fldCharType="begin"/>
        </w:r>
        <w:r w:rsidRPr="00FF288E">
          <w:rPr>
            <w:rFonts w:ascii="Times New Roman" w:hAnsi="Times New Roman"/>
            <w:sz w:val="16"/>
            <w:szCs w:val="16"/>
          </w:rPr>
          <w:instrText xml:space="preserve"> PAGE   \* MERGEFORMAT </w:instrText>
        </w:r>
        <w:r w:rsidRPr="00FF288E">
          <w:rPr>
            <w:rFonts w:ascii="Times New Roman" w:hAnsi="Times New Roman"/>
            <w:sz w:val="16"/>
            <w:szCs w:val="16"/>
          </w:rPr>
          <w:fldChar w:fldCharType="separate"/>
        </w:r>
        <w:r w:rsidR="006A3534" w:rsidRPr="00FF288E">
          <w:rPr>
            <w:rFonts w:ascii="Times New Roman" w:hAnsi="Times New Roman"/>
            <w:noProof/>
            <w:sz w:val="16"/>
            <w:szCs w:val="16"/>
          </w:rPr>
          <w:t>2</w:t>
        </w:r>
        <w:r w:rsidRPr="00FF288E">
          <w:rPr>
            <w:rFonts w:ascii="Times New Roman" w:hAnsi="Times New Roman"/>
            <w:noProof/>
            <w:sz w:val="16"/>
            <w:szCs w:val="16"/>
          </w:rPr>
          <w:fldChar w:fldCharType="end"/>
        </w:r>
      </w:p>
    </w:sdtContent>
  </w:sdt>
  <w:p w14:paraId="6B0519BF" w14:textId="4D12A65F" w:rsidR="00455A3A" w:rsidRDefault="00455A3A">
    <w:pPr>
      <w:pStyle w:val="a9"/>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FA75" w14:textId="4B8A6CCA" w:rsidR="00455A3A" w:rsidRDefault="00C77246">
    <w:pPr>
      <w:pStyle w:val="a9"/>
      <w:spacing w:line="20" w:lineRule="exact"/>
    </w:pPr>
    <w:r>
      <w:rPr>
        <w:noProof/>
      </w:rPr>
      <mc:AlternateContent>
        <mc:Choice Requires="wps">
          <w:drawing>
            <wp:anchor distT="0" distB="0" distL="114300" distR="114300" simplePos="0" relativeHeight="251658240" behindDoc="1" locked="0" layoutInCell="1" allowOverlap="1" wp14:anchorId="0DE0CBBB" wp14:editId="43811EE1">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3F47A2D" w14:textId="2E2B517E" w:rsidR="00455A3A" w:rsidRDefault="001D4676">
                          <w:pPr>
                            <w:pStyle w:val="MacPacTrailer"/>
                          </w:pPr>
                          <w:r>
                            <w:fldChar w:fldCharType="begin"/>
                          </w:r>
                          <w:r>
                            <w:instrText>DOCPROPERTY  docId</w:instrText>
                          </w:r>
                          <w:r>
                            <w:fldChar w:fldCharType="separate"/>
                          </w:r>
                          <w:r w:rsidR="009F77AB">
                            <w:t>-</w:t>
                          </w:r>
                          <w:r>
                            <w:fldChar w:fldCharType="end"/>
                          </w:r>
                          <w:r w:rsidR="00455A3A">
                            <w:fldChar w:fldCharType="begin"/>
                          </w:r>
                          <w:r w:rsidR="00455A3A">
                            <w:instrText xml:space="preserve"> IF </w:instrText>
                          </w:r>
                          <w:r>
                            <w:fldChar w:fldCharType="begin"/>
                          </w:r>
                          <w:r>
                            <w:instrText>DOCPROPERTY  docIncludeVersion</w:instrText>
                          </w:r>
                          <w:r>
                            <w:fldChar w:fldCharType="separate"/>
                          </w:r>
                          <w:r w:rsidR="009F77AB">
                            <w:instrText>true</w:instrText>
                          </w:r>
                          <w:r>
                            <w:fldChar w:fldCharType="end"/>
                          </w:r>
                          <w:r w:rsidR="00455A3A">
                            <w:instrText xml:space="preserve"> = true "/</w:instrText>
                          </w:r>
                          <w:r>
                            <w:fldChar w:fldCharType="begin"/>
                          </w:r>
                          <w:r>
                            <w:instrText>DOCPROPERTY  docVersion</w:instrText>
                          </w:r>
                          <w:r>
                            <w:fldChar w:fldCharType="separate"/>
                          </w:r>
                          <w:r w:rsidR="009F77AB">
                            <w:instrText>0</w:instrText>
                          </w:r>
                          <w:r>
                            <w:fldChar w:fldCharType="end"/>
                          </w:r>
                          <w:r w:rsidR="00455A3A">
                            <w:instrText>"</w:instrText>
                          </w:r>
                          <w:r w:rsidR="00455A3A">
                            <w:fldChar w:fldCharType="separate"/>
                          </w:r>
                          <w:r w:rsidR="009F77AB">
                            <w:rPr>
                              <w:noProof/>
                            </w:rPr>
                            <w:t>/0</w:t>
                          </w:r>
                          <w:r w:rsidR="00455A3A">
                            <w:fldChar w:fldCharType="end"/>
                          </w:r>
                          <w:r w:rsidR="00455A3A">
                            <w:t xml:space="preserve">   </w:t>
                          </w:r>
                          <w:r w:rsidR="00455A3A">
                            <w:fldChar w:fldCharType="begin"/>
                          </w:r>
                          <w:r w:rsidR="00455A3A">
                            <w:instrText xml:space="preserve"> IF </w:instrText>
                          </w:r>
                          <w:r>
                            <w:fldChar w:fldCharType="begin"/>
                          </w:r>
                          <w:r>
                            <w:instrText>DOCPROPERTY  docIncludeCliMat</w:instrText>
                          </w:r>
                          <w:r>
                            <w:fldChar w:fldCharType="separate"/>
                          </w:r>
                          <w:r w:rsidR="009F77AB">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CBBB"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3F47A2D" w14:textId="2E2B517E" w:rsidR="00455A3A" w:rsidRDefault="001D4676">
                    <w:pPr>
                      <w:pStyle w:val="MacPacTrailer"/>
                    </w:pPr>
                    <w:r>
                      <w:fldChar w:fldCharType="begin"/>
                    </w:r>
                    <w:r>
                      <w:instrText>DOCPROPERTY  docId</w:instrText>
                    </w:r>
                    <w:r>
                      <w:fldChar w:fldCharType="separate"/>
                    </w:r>
                    <w:r w:rsidR="009F77AB">
                      <w:t>-</w:t>
                    </w:r>
                    <w:r>
                      <w:fldChar w:fldCharType="end"/>
                    </w:r>
                    <w:r w:rsidR="00455A3A">
                      <w:fldChar w:fldCharType="begin"/>
                    </w:r>
                    <w:r w:rsidR="00455A3A">
                      <w:instrText xml:space="preserve"> IF </w:instrText>
                    </w:r>
                    <w:r>
                      <w:fldChar w:fldCharType="begin"/>
                    </w:r>
                    <w:r>
                      <w:instrText>DOCPROPERTY  docIncludeVersion</w:instrText>
                    </w:r>
                    <w:r>
                      <w:fldChar w:fldCharType="separate"/>
                    </w:r>
                    <w:r w:rsidR="009F77AB">
                      <w:instrText>true</w:instrText>
                    </w:r>
                    <w:r>
                      <w:fldChar w:fldCharType="end"/>
                    </w:r>
                    <w:r w:rsidR="00455A3A">
                      <w:instrText xml:space="preserve"> = true "/</w:instrText>
                    </w:r>
                    <w:r>
                      <w:fldChar w:fldCharType="begin"/>
                    </w:r>
                    <w:r>
                      <w:instrText>DOCPROPERTY  docVersion</w:instrText>
                    </w:r>
                    <w:r>
                      <w:fldChar w:fldCharType="separate"/>
                    </w:r>
                    <w:r w:rsidR="009F77AB">
                      <w:instrText>0</w:instrText>
                    </w:r>
                    <w:r>
                      <w:fldChar w:fldCharType="end"/>
                    </w:r>
                    <w:r w:rsidR="00455A3A">
                      <w:instrText>"</w:instrText>
                    </w:r>
                    <w:r w:rsidR="00455A3A">
                      <w:fldChar w:fldCharType="separate"/>
                    </w:r>
                    <w:r w:rsidR="009F77AB">
                      <w:rPr>
                        <w:noProof/>
                      </w:rPr>
                      <w:t>/0</w:t>
                    </w:r>
                    <w:r w:rsidR="00455A3A">
                      <w:fldChar w:fldCharType="end"/>
                    </w:r>
                    <w:r w:rsidR="00455A3A">
                      <w:t xml:space="preserve">   </w:t>
                    </w:r>
                    <w:r w:rsidR="00455A3A">
                      <w:fldChar w:fldCharType="begin"/>
                    </w:r>
                    <w:r w:rsidR="00455A3A">
                      <w:instrText xml:space="preserve"> IF </w:instrText>
                    </w:r>
                    <w:r>
                      <w:fldChar w:fldCharType="begin"/>
                    </w:r>
                    <w:r>
                      <w:instrText>DOCPROPERTY  docIncludeCliMat</w:instrText>
                    </w:r>
                    <w:r>
                      <w:fldChar w:fldCharType="separate"/>
                    </w:r>
                    <w:r w:rsidR="009F77AB">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4821" w14:textId="77777777" w:rsidR="00E41837" w:rsidRDefault="00E41837" w:rsidP="008D4C61">
      <w:r>
        <w:separator/>
      </w:r>
    </w:p>
  </w:footnote>
  <w:footnote w:type="continuationSeparator" w:id="0">
    <w:p w14:paraId="652518C5" w14:textId="77777777" w:rsidR="00E41837" w:rsidRDefault="00E41837" w:rsidP="008D4C61">
      <w:r>
        <w:continuationSeparator/>
      </w:r>
    </w:p>
  </w:footnote>
  <w:footnote w:type="continuationNotice" w:id="1">
    <w:p w14:paraId="7DA88671" w14:textId="77777777" w:rsidR="00E41837" w:rsidRDefault="00E418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A1"/>
    <w:multiLevelType w:val="hybridMultilevel"/>
    <w:tmpl w:val="2DC6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71F08"/>
    <w:multiLevelType w:val="hybridMultilevel"/>
    <w:tmpl w:val="4916618A"/>
    <w:lvl w:ilvl="0" w:tplc="AA9005A0">
      <w:start w:val="4"/>
      <w:numFmt w:val="bullet"/>
      <w:lvlText w:val="-"/>
      <w:lvlJc w:val="left"/>
      <w:pPr>
        <w:ind w:left="720" w:hanging="360"/>
      </w:pPr>
      <w:rPr>
        <w:rFonts w:ascii="Times New Roman" w:eastAsia="仿宋_GB2312"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B0A07"/>
    <w:multiLevelType w:val="hybridMultilevel"/>
    <w:tmpl w:val="D72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54659"/>
    <w:multiLevelType w:val="hybridMultilevel"/>
    <w:tmpl w:val="186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783966">
    <w:abstractNumId w:val="3"/>
  </w:num>
  <w:num w:numId="2" w16cid:durableId="931812963">
    <w:abstractNumId w:val="1"/>
  </w:num>
  <w:num w:numId="3" w16cid:durableId="506678312">
    <w:abstractNumId w:val="0"/>
  </w:num>
  <w:num w:numId="4" w16cid:durableId="844247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a-cretford\AppData\Local\Temp\9\3da74179-3a33-42f6-aff9-f766e26957b2.docx"/>
    <w:docVar w:name="zzmp10LastTrailerInserted"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LastTrailerInserted_2832"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mSEGsValidated" w:val="1"/>
    <w:docVar w:name="zzmpCompatibilityMode" w:val="15"/>
    <w:docVar w:name="zzmpLegacyTrailerRemoved" w:val="True"/>
  </w:docVars>
  <w:rsids>
    <w:rsidRoot w:val="0025066F"/>
    <w:rsid w:val="00001545"/>
    <w:rsid w:val="000027DC"/>
    <w:rsid w:val="00003857"/>
    <w:rsid w:val="00017A89"/>
    <w:rsid w:val="00017B95"/>
    <w:rsid w:val="00030D00"/>
    <w:rsid w:val="0003702D"/>
    <w:rsid w:val="00040832"/>
    <w:rsid w:val="00041428"/>
    <w:rsid w:val="00041733"/>
    <w:rsid w:val="00042111"/>
    <w:rsid w:val="00044171"/>
    <w:rsid w:val="0004727B"/>
    <w:rsid w:val="00051F04"/>
    <w:rsid w:val="000566AC"/>
    <w:rsid w:val="00061F0D"/>
    <w:rsid w:val="000626C5"/>
    <w:rsid w:val="000728F1"/>
    <w:rsid w:val="000806AF"/>
    <w:rsid w:val="00083B81"/>
    <w:rsid w:val="000865AC"/>
    <w:rsid w:val="000916E8"/>
    <w:rsid w:val="0009246F"/>
    <w:rsid w:val="00092B14"/>
    <w:rsid w:val="00096E35"/>
    <w:rsid w:val="000A075D"/>
    <w:rsid w:val="000A1C10"/>
    <w:rsid w:val="000A2A65"/>
    <w:rsid w:val="000A7E19"/>
    <w:rsid w:val="000B140B"/>
    <w:rsid w:val="000B1521"/>
    <w:rsid w:val="000B1F6A"/>
    <w:rsid w:val="000B2172"/>
    <w:rsid w:val="000B375A"/>
    <w:rsid w:val="000C0D54"/>
    <w:rsid w:val="000C40B5"/>
    <w:rsid w:val="000D17FA"/>
    <w:rsid w:val="000E19D3"/>
    <w:rsid w:val="000E20C7"/>
    <w:rsid w:val="000E413F"/>
    <w:rsid w:val="000E449B"/>
    <w:rsid w:val="000F4D6E"/>
    <w:rsid w:val="0010063F"/>
    <w:rsid w:val="0011065B"/>
    <w:rsid w:val="00111326"/>
    <w:rsid w:val="00113A60"/>
    <w:rsid w:val="00115806"/>
    <w:rsid w:val="001158B8"/>
    <w:rsid w:val="00116916"/>
    <w:rsid w:val="0012444E"/>
    <w:rsid w:val="0013364A"/>
    <w:rsid w:val="00133E5A"/>
    <w:rsid w:val="00136639"/>
    <w:rsid w:val="001414A7"/>
    <w:rsid w:val="001425D8"/>
    <w:rsid w:val="0014360F"/>
    <w:rsid w:val="00145E01"/>
    <w:rsid w:val="00147778"/>
    <w:rsid w:val="00162F94"/>
    <w:rsid w:val="00163449"/>
    <w:rsid w:val="00163896"/>
    <w:rsid w:val="00164CDE"/>
    <w:rsid w:val="001669A8"/>
    <w:rsid w:val="00171B8C"/>
    <w:rsid w:val="001720E9"/>
    <w:rsid w:val="00173E89"/>
    <w:rsid w:val="00174200"/>
    <w:rsid w:val="00175169"/>
    <w:rsid w:val="001819FA"/>
    <w:rsid w:val="00181FF1"/>
    <w:rsid w:val="001874E0"/>
    <w:rsid w:val="001A3FBB"/>
    <w:rsid w:val="001A45FF"/>
    <w:rsid w:val="001B154A"/>
    <w:rsid w:val="001B55B9"/>
    <w:rsid w:val="001B60EF"/>
    <w:rsid w:val="001B7AAC"/>
    <w:rsid w:val="001C2627"/>
    <w:rsid w:val="001C2B46"/>
    <w:rsid w:val="001C7F0D"/>
    <w:rsid w:val="001D4676"/>
    <w:rsid w:val="001E1E63"/>
    <w:rsid w:val="001E39C6"/>
    <w:rsid w:val="001E61C1"/>
    <w:rsid w:val="001F02B1"/>
    <w:rsid w:val="001F2432"/>
    <w:rsid w:val="001F46B7"/>
    <w:rsid w:val="001F55D7"/>
    <w:rsid w:val="001F5BF5"/>
    <w:rsid w:val="001F64F9"/>
    <w:rsid w:val="00207AE7"/>
    <w:rsid w:val="00210326"/>
    <w:rsid w:val="00210732"/>
    <w:rsid w:val="00211B63"/>
    <w:rsid w:val="00222474"/>
    <w:rsid w:val="002249C6"/>
    <w:rsid w:val="00226568"/>
    <w:rsid w:val="00227DF2"/>
    <w:rsid w:val="0023001A"/>
    <w:rsid w:val="0023250D"/>
    <w:rsid w:val="00236AE6"/>
    <w:rsid w:val="002440CF"/>
    <w:rsid w:val="002441A3"/>
    <w:rsid w:val="00245C78"/>
    <w:rsid w:val="00247CDE"/>
    <w:rsid w:val="0025066F"/>
    <w:rsid w:val="00267AAC"/>
    <w:rsid w:val="0027647C"/>
    <w:rsid w:val="00276F85"/>
    <w:rsid w:val="002777A8"/>
    <w:rsid w:val="0027787B"/>
    <w:rsid w:val="0028045A"/>
    <w:rsid w:val="00280974"/>
    <w:rsid w:val="00283C55"/>
    <w:rsid w:val="00287A6C"/>
    <w:rsid w:val="00293A6F"/>
    <w:rsid w:val="00294B86"/>
    <w:rsid w:val="00297566"/>
    <w:rsid w:val="002A4DDF"/>
    <w:rsid w:val="002A5024"/>
    <w:rsid w:val="002A6A70"/>
    <w:rsid w:val="002A6B44"/>
    <w:rsid w:val="002B29F0"/>
    <w:rsid w:val="002B7FCA"/>
    <w:rsid w:val="002C28FF"/>
    <w:rsid w:val="002C44E5"/>
    <w:rsid w:val="002C56C1"/>
    <w:rsid w:val="002C5EA5"/>
    <w:rsid w:val="002D0742"/>
    <w:rsid w:val="002D4725"/>
    <w:rsid w:val="002D6D77"/>
    <w:rsid w:val="002E16FA"/>
    <w:rsid w:val="002E328E"/>
    <w:rsid w:val="002E43F9"/>
    <w:rsid w:val="002E7802"/>
    <w:rsid w:val="00302E58"/>
    <w:rsid w:val="003030CA"/>
    <w:rsid w:val="00310696"/>
    <w:rsid w:val="00311A8D"/>
    <w:rsid w:val="003120A7"/>
    <w:rsid w:val="0031423E"/>
    <w:rsid w:val="00316408"/>
    <w:rsid w:val="00317D94"/>
    <w:rsid w:val="003224A3"/>
    <w:rsid w:val="003229B9"/>
    <w:rsid w:val="003231CB"/>
    <w:rsid w:val="003269BC"/>
    <w:rsid w:val="003308B9"/>
    <w:rsid w:val="0033147A"/>
    <w:rsid w:val="00332FA2"/>
    <w:rsid w:val="00335A57"/>
    <w:rsid w:val="00336389"/>
    <w:rsid w:val="003400B8"/>
    <w:rsid w:val="0034372C"/>
    <w:rsid w:val="00347F5E"/>
    <w:rsid w:val="00353CA3"/>
    <w:rsid w:val="00354301"/>
    <w:rsid w:val="003555F9"/>
    <w:rsid w:val="003557FA"/>
    <w:rsid w:val="00366140"/>
    <w:rsid w:val="003662FD"/>
    <w:rsid w:val="0036771F"/>
    <w:rsid w:val="00374A0A"/>
    <w:rsid w:val="00380F79"/>
    <w:rsid w:val="00387F82"/>
    <w:rsid w:val="0039347A"/>
    <w:rsid w:val="00393CC4"/>
    <w:rsid w:val="0039528E"/>
    <w:rsid w:val="0039750E"/>
    <w:rsid w:val="00397E12"/>
    <w:rsid w:val="003A50F9"/>
    <w:rsid w:val="003A6D3B"/>
    <w:rsid w:val="003A73B2"/>
    <w:rsid w:val="003A7C35"/>
    <w:rsid w:val="003B0359"/>
    <w:rsid w:val="003B7F75"/>
    <w:rsid w:val="003C2EEF"/>
    <w:rsid w:val="003C6901"/>
    <w:rsid w:val="003D0859"/>
    <w:rsid w:val="003D6AA4"/>
    <w:rsid w:val="003E0927"/>
    <w:rsid w:val="003E34CD"/>
    <w:rsid w:val="003E404D"/>
    <w:rsid w:val="003E5D4D"/>
    <w:rsid w:val="003F09ED"/>
    <w:rsid w:val="003F1D5A"/>
    <w:rsid w:val="00401BD6"/>
    <w:rsid w:val="00403915"/>
    <w:rsid w:val="00404355"/>
    <w:rsid w:val="004069BC"/>
    <w:rsid w:val="00410E50"/>
    <w:rsid w:val="00415E34"/>
    <w:rsid w:val="00415F7B"/>
    <w:rsid w:val="0041600C"/>
    <w:rsid w:val="004214F0"/>
    <w:rsid w:val="00422EF3"/>
    <w:rsid w:val="0042386B"/>
    <w:rsid w:val="00425D37"/>
    <w:rsid w:val="00425DDB"/>
    <w:rsid w:val="0042684A"/>
    <w:rsid w:val="004279C6"/>
    <w:rsid w:val="004368AB"/>
    <w:rsid w:val="004438B4"/>
    <w:rsid w:val="00446F83"/>
    <w:rsid w:val="00455A3A"/>
    <w:rsid w:val="00456CA6"/>
    <w:rsid w:val="00462731"/>
    <w:rsid w:val="004641A3"/>
    <w:rsid w:val="00474108"/>
    <w:rsid w:val="004744AD"/>
    <w:rsid w:val="004748E5"/>
    <w:rsid w:val="00475630"/>
    <w:rsid w:val="0047574D"/>
    <w:rsid w:val="004812A4"/>
    <w:rsid w:val="004817A6"/>
    <w:rsid w:val="004A0067"/>
    <w:rsid w:val="004A25B2"/>
    <w:rsid w:val="004A4E02"/>
    <w:rsid w:val="004B41D1"/>
    <w:rsid w:val="004B46C4"/>
    <w:rsid w:val="004B4DD1"/>
    <w:rsid w:val="004B6522"/>
    <w:rsid w:val="004B6CF9"/>
    <w:rsid w:val="004B74A2"/>
    <w:rsid w:val="004B78EE"/>
    <w:rsid w:val="004C6304"/>
    <w:rsid w:val="004C63CA"/>
    <w:rsid w:val="004D42A7"/>
    <w:rsid w:val="004D68D1"/>
    <w:rsid w:val="004D7015"/>
    <w:rsid w:val="004D7248"/>
    <w:rsid w:val="004E132B"/>
    <w:rsid w:val="004E58E8"/>
    <w:rsid w:val="004F30EC"/>
    <w:rsid w:val="004F7D46"/>
    <w:rsid w:val="00500B91"/>
    <w:rsid w:val="00507649"/>
    <w:rsid w:val="00515F77"/>
    <w:rsid w:val="00532B4A"/>
    <w:rsid w:val="00536174"/>
    <w:rsid w:val="0053645E"/>
    <w:rsid w:val="00536D00"/>
    <w:rsid w:val="005409C5"/>
    <w:rsid w:val="0054733B"/>
    <w:rsid w:val="005564C0"/>
    <w:rsid w:val="00557272"/>
    <w:rsid w:val="00562CA8"/>
    <w:rsid w:val="00562EC8"/>
    <w:rsid w:val="005653C7"/>
    <w:rsid w:val="00565770"/>
    <w:rsid w:val="00572F2E"/>
    <w:rsid w:val="005735EA"/>
    <w:rsid w:val="005825F2"/>
    <w:rsid w:val="00590F42"/>
    <w:rsid w:val="00595762"/>
    <w:rsid w:val="00596336"/>
    <w:rsid w:val="005A1732"/>
    <w:rsid w:val="005A2602"/>
    <w:rsid w:val="005A549B"/>
    <w:rsid w:val="005B1753"/>
    <w:rsid w:val="005B422B"/>
    <w:rsid w:val="005B5FA5"/>
    <w:rsid w:val="005B77A0"/>
    <w:rsid w:val="005C0C4A"/>
    <w:rsid w:val="005D179F"/>
    <w:rsid w:val="005D24FA"/>
    <w:rsid w:val="005D34A0"/>
    <w:rsid w:val="005D4B76"/>
    <w:rsid w:val="005D763F"/>
    <w:rsid w:val="005E0D02"/>
    <w:rsid w:val="005F7398"/>
    <w:rsid w:val="006000D7"/>
    <w:rsid w:val="006042AE"/>
    <w:rsid w:val="00604B3A"/>
    <w:rsid w:val="006215FD"/>
    <w:rsid w:val="00621CE4"/>
    <w:rsid w:val="006301E3"/>
    <w:rsid w:val="00632165"/>
    <w:rsid w:val="00635187"/>
    <w:rsid w:val="0063581B"/>
    <w:rsid w:val="006417CB"/>
    <w:rsid w:val="00641B63"/>
    <w:rsid w:val="00642395"/>
    <w:rsid w:val="00646B45"/>
    <w:rsid w:val="0065028A"/>
    <w:rsid w:val="00654C8F"/>
    <w:rsid w:val="0065523A"/>
    <w:rsid w:val="00660EB7"/>
    <w:rsid w:val="00661140"/>
    <w:rsid w:val="006624F1"/>
    <w:rsid w:val="00667309"/>
    <w:rsid w:val="006770E9"/>
    <w:rsid w:val="00677DF5"/>
    <w:rsid w:val="00680183"/>
    <w:rsid w:val="00680A83"/>
    <w:rsid w:val="006823F0"/>
    <w:rsid w:val="00682615"/>
    <w:rsid w:val="0068399C"/>
    <w:rsid w:val="00686065"/>
    <w:rsid w:val="00686804"/>
    <w:rsid w:val="00690C55"/>
    <w:rsid w:val="006917DB"/>
    <w:rsid w:val="00696B32"/>
    <w:rsid w:val="006A3534"/>
    <w:rsid w:val="006A4017"/>
    <w:rsid w:val="006B1B2E"/>
    <w:rsid w:val="006B1B59"/>
    <w:rsid w:val="006B2818"/>
    <w:rsid w:val="006B41AA"/>
    <w:rsid w:val="006B6503"/>
    <w:rsid w:val="006C1200"/>
    <w:rsid w:val="006C5117"/>
    <w:rsid w:val="006C54C2"/>
    <w:rsid w:val="006C6284"/>
    <w:rsid w:val="006D089F"/>
    <w:rsid w:val="006D1498"/>
    <w:rsid w:val="006D2AD4"/>
    <w:rsid w:val="006E6C59"/>
    <w:rsid w:val="006E7CFA"/>
    <w:rsid w:val="006F2772"/>
    <w:rsid w:val="00704995"/>
    <w:rsid w:val="0070516D"/>
    <w:rsid w:val="0070737B"/>
    <w:rsid w:val="0071092A"/>
    <w:rsid w:val="007125D2"/>
    <w:rsid w:val="007134EF"/>
    <w:rsid w:val="0071560C"/>
    <w:rsid w:val="00722518"/>
    <w:rsid w:val="00724910"/>
    <w:rsid w:val="0072506A"/>
    <w:rsid w:val="00726AFB"/>
    <w:rsid w:val="00730DB5"/>
    <w:rsid w:val="007323BB"/>
    <w:rsid w:val="00734CB2"/>
    <w:rsid w:val="00735DF4"/>
    <w:rsid w:val="00742FEC"/>
    <w:rsid w:val="007465F0"/>
    <w:rsid w:val="0074706B"/>
    <w:rsid w:val="00747545"/>
    <w:rsid w:val="007579AA"/>
    <w:rsid w:val="0077122F"/>
    <w:rsid w:val="00771712"/>
    <w:rsid w:val="007718EC"/>
    <w:rsid w:val="0077526E"/>
    <w:rsid w:val="00777444"/>
    <w:rsid w:val="00780653"/>
    <w:rsid w:val="00783B45"/>
    <w:rsid w:val="00786084"/>
    <w:rsid w:val="007A40C5"/>
    <w:rsid w:val="007A6B78"/>
    <w:rsid w:val="007B2371"/>
    <w:rsid w:val="007B4403"/>
    <w:rsid w:val="007B6B20"/>
    <w:rsid w:val="007B765C"/>
    <w:rsid w:val="007C226D"/>
    <w:rsid w:val="007C5C3C"/>
    <w:rsid w:val="007D1287"/>
    <w:rsid w:val="007D27FF"/>
    <w:rsid w:val="007D48DE"/>
    <w:rsid w:val="007D680B"/>
    <w:rsid w:val="007E0C77"/>
    <w:rsid w:val="007E5151"/>
    <w:rsid w:val="007E789D"/>
    <w:rsid w:val="007F1CBB"/>
    <w:rsid w:val="007F271E"/>
    <w:rsid w:val="007F3E01"/>
    <w:rsid w:val="007F54A2"/>
    <w:rsid w:val="007F7A11"/>
    <w:rsid w:val="007F7CFA"/>
    <w:rsid w:val="007F7FEE"/>
    <w:rsid w:val="00801170"/>
    <w:rsid w:val="00802A2F"/>
    <w:rsid w:val="00816750"/>
    <w:rsid w:val="0082152A"/>
    <w:rsid w:val="00823C38"/>
    <w:rsid w:val="00826A5D"/>
    <w:rsid w:val="00827C78"/>
    <w:rsid w:val="00835682"/>
    <w:rsid w:val="00837E76"/>
    <w:rsid w:val="00840FEB"/>
    <w:rsid w:val="00846082"/>
    <w:rsid w:val="00847265"/>
    <w:rsid w:val="00847E59"/>
    <w:rsid w:val="00852871"/>
    <w:rsid w:val="00855FA9"/>
    <w:rsid w:val="00862F51"/>
    <w:rsid w:val="008668E3"/>
    <w:rsid w:val="008702FE"/>
    <w:rsid w:val="00870558"/>
    <w:rsid w:val="00873737"/>
    <w:rsid w:val="00877413"/>
    <w:rsid w:val="00877CD4"/>
    <w:rsid w:val="00880914"/>
    <w:rsid w:val="00883CF5"/>
    <w:rsid w:val="00886A12"/>
    <w:rsid w:val="0089254E"/>
    <w:rsid w:val="008A28AB"/>
    <w:rsid w:val="008A2B7C"/>
    <w:rsid w:val="008A48D9"/>
    <w:rsid w:val="008A729C"/>
    <w:rsid w:val="008B3EBC"/>
    <w:rsid w:val="008B6692"/>
    <w:rsid w:val="008B6C3A"/>
    <w:rsid w:val="008B78E9"/>
    <w:rsid w:val="008C4C37"/>
    <w:rsid w:val="008C653B"/>
    <w:rsid w:val="008C72C6"/>
    <w:rsid w:val="008D049C"/>
    <w:rsid w:val="008D0561"/>
    <w:rsid w:val="008D1CC5"/>
    <w:rsid w:val="008D4C61"/>
    <w:rsid w:val="008D648A"/>
    <w:rsid w:val="008D7CED"/>
    <w:rsid w:val="008E121F"/>
    <w:rsid w:val="008E31C6"/>
    <w:rsid w:val="008E362B"/>
    <w:rsid w:val="008F2A87"/>
    <w:rsid w:val="008F3197"/>
    <w:rsid w:val="008F5261"/>
    <w:rsid w:val="008F5F4C"/>
    <w:rsid w:val="00903B1B"/>
    <w:rsid w:val="00905A02"/>
    <w:rsid w:val="00922C31"/>
    <w:rsid w:val="00925A15"/>
    <w:rsid w:val="00927835"/>
    <w:rsid w:val="00933F38"/>
    <w:rsid w:val="00934704"/>
    <w:rsid w:val="0093555D"/>
    <w:rsid w:val="0094225A"/>
    <w:rsid w:val="009429E9"/>
    <w:rsid w:val="009466F6"/>
    <w:rsid w:val="00946F53"/>
    <w:rsid w:val="009478D6"/>
    <w:rsid w:val="009502DB"/>
    <w:rsid w:val="009548E5"/>
    <w:rsid w:val="00957152"/>
    <w:rsid w:val="00963A38"/>
    <w:rsid w:val="0097346D"/>
    <w:rsid w:val="00975485"/>
    <w:rsid w:val="00975BED"/>
    <w:rsid w:val="00977CC5"/>
    <w:rsid w:val="00983639"/>
    <w:rsid w:val="009A0182"/>
    <w:rsid w:val="009A6B07"/>
    <w:rsid w:val="009A7605"/>
    <w:rsid w:val="009A7FB3"/>
    <w:rsid w:val="009B5C37"/>
    <w:rsid w:val="009B710B"/>
    <w:rsid w:val="009C10F0"/>
    <w:rsid w:val="009C1CFB"/>
    <w:rsid w:val="009D2663"/>
    <w:rsid w:val="009D42B8"/>
    <w:rsid w:val="009D4A72"/>
    <w:rsid w:val="009D7F77"/>
    <w:rsid w:val="009F3676"/>
    <w:rsid w:val="009F3BD9"/>
    <w:rsid w:val="009F77AB"/>
    <w:rsid w:val="00A06CE3"/>
    <w:rsid w:val="00A10152"/>
    <w:rsid w:val="00A11016"/>
    <w:rsid w:val="00A121DD"/>
    <w:rsid w:val="00A12B71"/>
    <w:rsid w:val="00A13743"/>
    <w:rsid w:val="00A17B8C"/>
    <w:rsid w:val="00A317D1"/>
    <w:rsid w:val="00A31DC7"/>
    <w:rsid w:val="00A326DB"/>
    <w:rsid w:val="00A33383"/>
    <w:rsid w:val="00A33CEC"/>
    <w:rsid w:val="00A33DA8"/>
    <w:rsid w:val="00A34DE8"/>
    <w:rsid w:val="00A3604C"/>
    <w:rsid w:val="00A4069C"/>
    <w:rsid w:val="00A424EB"/>
    <w:rsid w:val="00A434A1"/>
    <w:rsid w:val="00A50B67"/>
    <w:rsid w:val="00A55930"/>
    <w:rsid w:val="00A5774E"/>
    <w:rsid w:val="00A6016E"/>
    <w:rsid w:val="00A65070"/>
    <w:rsid w:val="00A6552F"/>
    <w:rsid w:val="00A66496"/>
    <w:rsid w:val="00A66795"/>
    <w:rsid w:val="00A71CC1"/>
    <w:rsid w:val="00A7311F"/>
    <w:rsid w:val="00A7511C"/>
    <w:rsid w:val="00A81150"/>
    <w:rsid w:val="00A843B4"/>
    <w:rsid w:val="00A84C81"/>
    <w:rsid w:val="00A8690F"/>
    <w:rsid w:val="00A87253"/>
    <w:rsid w:val="00A944DA"/>
    <w:rsid w:val="00A96E67"/>
    <w:rsid w:val="00A97572"/>
    <w:rsid w:val="00A9769A"/>
    <w:rsid w:val="00AA2412"/>
    <w:rsid w:val="00AA3ED9"/>
    <w:rsid w:val="00AA416F"/>
    <w:rsid w:val="00AA53B4"/>
    <w:rsid w:val="00AA5C58"/>
    <w:rsid w:val="00AB536E"/>
    <w:rsid w:val="00AB5B9E"/>
    <w:rsid w:val="00AC2302"/>
    <w:rsid w:val="00AC4920"/>
    <w:rsid w:val="00AC4A88"/>
    <w:rsid w:val="00AD032A"/>
    <w:rsid w:val="00AD4852"/>
    <w:rsid w:val="00AD58C4"/>
    <w:rsid w:val="00AE2B3A"/>
    <w:rsid w:val="00AE7B38"/>
    <w:rsid w:val="00AF1D8E"/>
    <w:rsid w:val="00AF6FE4"/>
    <w:rsid w:val="00AF7386"/>
    <w:rsid w:val="00B11C52"/>
    <w:rsid w:val="00B17C2A"/>
    <w:rsid w:val="00B21375"/>
    <w:rsid w:val="00B23131"/>
    <w:rsid w:val="00B27B0C"/>
    <w:rsid w:val="00B31CD4"/>
    <w:rsid w:val="00B375B6"/>
    <w:rsid w:val="00B37795"/>
    <w:rsid w:val="00B379E0"/>
    <w:rsid w:val="00B37B53"/>
    <w:rsid w:val="00B40F63"/>
    <w:rsid w:val="00B42B0B"/>
    <w:rsid w:val="00B437B0"/>
    <w:rsid w:val="00B452A4"/>
    <w:rsid w:val="00B5063C"/>
    <w:rsid w:val="00B50CB2"/>
    <w:rsid w:val="00B52C0E"/>
    <w:rsid w:val="00B56A42"/>
    <w:rsid w:val="00B57B47"/>
    <w:rsid w:val="00B6221B"/>
    <w:rsid w:val="00B646AB"/>
    <w:rsid w:val="00B64CE8"/>
    <w:rsid w:val="00B75755"/>
    <w:rsid w:val="00B940ED"/>
    <w:rsid w:val="00B945D9"/>
    <w:rsid w:val="00B94BAC"/>
    <w:rsid w:val="00BA20C5"/>
    <w:rsid w:val="00BA22C8"/>
    <w:rsid w:val="00BA621D"/>
    <w:rsid w:val="00BA66C1"/>
    <w:rsid w:val="00BB0C6E"/>
    <w:rsid w:val="00BB55D6"/>
    <w:rsid w:val="00BB6E26"/>
    <w:rsid w:val="00BC2C4E"/>
    <w:rsid w:val="00BC5AB9"/>
    <w:rsid w:val="00BC5AC9"/>
    <w:rsid w:val="00BD4626"/>
    <w:rsid w:val="00BE1B10"/>
    <w:rsid w:val="00BE3C2D"/>
    <w:rsid w:val="00BE6573"/>
    <w:rsid w:val="00BF327A"/>
    <w:rsid w:val="00BF40AB"/>
    <w:rsid w:val="00BF5183"/>
    <w:rsid w:val="00C04F86"/>
    <w:rsid w:val="00C0549D"/>
    <w:rsid w:val="00C06038"/>
    <w:rsid w:val="00C068C8"/>
    <w:rsid w:val="00C17EE9"/>
    <w:rsid w:val="00C2120A"/>
    <w:rsid w:val="00C21984"/>
    <w:rsid w:val="00C27009"/>
    <w:rsid w:val="00C350C3"/>
    <w:rsid w:val="00C37DB2"/>
    <w:rsid w:val="00C4321A"/>
    <w:rsid w:val="00C440E2"/>
    <w:rsid w:val="00C5070F"/>
    <w:rsid w:val="00C523E5"/>
    <w:rsid w:val="00C567CA"/>
    <w:rsid w:val="00C67B7E"/>
    <w:rsid w:val="00C70D77"/>
    <w:rsid w:val="00C74E9F"/>
    <w:rsid w:val="00C7584C"/>
    <w:rsid w:val="00C76ECD"/>
    <w:rsid w:val="00C77246"/>
    <w:rsid w:val="00C8240E"/>
    <w:rsid w:val="00C8245A"/>
    <w:rsid w:val="00C9669C"/>
    <w:rsid w:val="00CA4254"/>
    <w:rsid w:val="00CA7965"/>
    <w:rsid w:val="00CB0F3F"/>
    <w:rsid w:val="00CB392F"/>
    <w:rsid w:val="00CB5C45"/>
    <w:rsid w:val="00CC175B"/>
    <w:rsid w:val="00CC3BE9"/>
    <w:rsid w:val="00CD1E99"/>
    <w:rsid w:val="00CD27DF"/>
    <w:rsid w:val="00CD756B"/>
    <w:rsid w:val="00CD7D64"/>
    <w:rsid w:val="00CE066B"/>
    <w:rsid w:val="00CE1977"/>
    <w:rsid w:val="00CE39F9"/>
    <w:rsid w:val="00CE5D8D"/>
    <w:rsid w:val="00CF0EEF"/>
    <w:rsid w:val="00CF2DEE"/>
    <w:rsid w:val="00CF39D3"/>
    <w:rsid w:val="00D00AF1"/>
    <w:rsid w:val="00D02AFE"/>
    <w:rsid w:val="00D03942"/>
    <w:rsid w:val="00D04387"/>
    <w:rsid w:val="00D053EA"/>
    <w:rsid w:val="00D0733C"/>
    <w:rsid w:val="00D1687F"/>
    <w:rsid w:val="00D35D01"/>
    <w:rsid w:val="00D406BE"/>
    <w:rsid w:val="00D40A45"/>
    <w:rsid w:val="00D4357B"/>
    <w:rsid w:val="00D44961"/>
    <w:rsid w:val="00D44B4B"/>
    <w:rsid w:val="00D45FAF"/>
    <w:rsid w:val="00D474B5"/>
    <w:rsid w:val="00D50A73"/>
    <w:rsid w:val="00D512C1"/>
    <w:rsid w:val="00D52AF0"/>
    <w:rsid w:val="00D546BD"/>
    <w:rsid w:val="00D556CE"/>
    <w:rsid w:val="00D55C4A"/>
    <w:rsid w:val="00D567D0"/>
    <w:rsid w:val="00D659AE"/>
    <w:rsid w:val="00D76129"/>
    <w:rsid w:val="00D815E3"/>
    <w:rsid w:val="00D86DE0"/>
    <w:rsid w:val="00D93868"/>
    <w:rsid w:val="00DA240F"/>
    <w:rsid w:val="00DA7417"/>
    <w:rsid w:val="00DA7F16"/>
    <w:rsid w:val="00DB1217"/>
    <w:rsid w:val="00DB1FB2"/>
    <w:rsid w:val="00DB28F2"/>
    <w:rsid w:val="00DB5393"/>
    <w:rsid w:val="00DC0523"/>
    <w:rsid w:val="00DC26BC"/>
    <w:rsid w:val="00DC368E"/>
    <w:rsid w:val="00DC6494"/>
    <w:rsid w:val="00DD1B54"/>
    <w:rsid w:val="00DD2C65"/>
    <w:rsid w:val="00DD2CFC"/>
    <w:rsid w:val="00DE24D8"/>
    <w:rsid w:val="00DE322B"/>
    <w:rsid w:val="00DE3B1A"/>
    <w:rsid w:val="00DF094C"/>
    <w:rsid w:val="00DF2BA5"/>
    <w:rsid w:val="00DF2D05"/>
    <w:rsid w:val="00DF7E9E"/>
    <w:rsid w:val="00E01015"/>
    <w:rsid w:val="00E07993"/>
    <w:rsid w:val="00E10601"/>
    <w:rsid w:val="00E23257"/>
    <w:rsid w:val="00E2401D"/>
    <w:rsid w:val="00E2571E"/>
    <w:rsid w:val="00E273C9"/>
    <w:rsid w:val="00E340BD"/>
    <w:rsid w:val="00E36900"/>
    <w:rsid w:val="00E40EB1"/>
    <w:rsid w:val="00E41837"/>
    <w:rsid w:val="00E420A4"/>
    <w:rsid w:val="00E43BFE"/>
    <w:rsid w:val="00E5141F"/>
    <w:rsid w:val="00E54E97"/>
    <w:rsid w:val="00E557F1"/>
    <w:rsid w:val="00E62C2C"/>
    <w:rsid w:val="00E7403A"/>
    <w:rsid w:val="00E764B7"/>
    <w:rsid w:val="00E76810"/>
    <w:rsid w:val="00E811E9"/>
    <w:rsid w:val="00E83EBA"/>
    <w:rsid w:val="00E8622E"/>
    <w:rsid w:val="00E871F9"/>
    <w:rsid w:val="00E93C1A"/>
    <w:rsid w:val="00E95C1F"/>
    <w:rsid w:val="00E95EB6"/>
    <w:rsid w:val="00EB1BEF"/>
    <w:rsid w:val="00EB26D9"/>
    <w:rsid w:val="00EB2A6E"/>
    <w:rsid w:val="00EB3C9C"/>
    <w:rsid w:val="00EB52F4"/>
    <w:rsid w:val="00EC45C4"/>
    <w:rsid w:val="00EC4C1B"/>
    <w:rsid w:val="00ED20D0"/>
    <w:rsid w:val="00ED23D0"/>
    <w:rsid w:val="00ED41BF"/>
    <w:rsid w:val="00ED5B87"/>
    <w:rsid w:val="00EF3727"/>
    <w:rsid w:val="00EF4DA1"/>
    <w:rsid w:val="00EF5584"/>
    <w:rsid w:val="00EF6FB1"/>
    <w:rsid w:val="00F044C6"/>
    <w:rsid w:val="00F10505"/>
    <w:rsid w:val="00F119DE"/>
    <w:rsid w:val="00F12B02"/>
    <w:rsid w:val="00F12FD6"/>
    <w:rsid w:val="00F13E0E"/>
    <w:rsid w:val="00F1540C"/>
    <w:rsid w:val="00F200F2"/>
    <w:rsid w:val="00F25162"/>
    <w:rsid w:val="00F26897"/>
    <w:rsid w:val="00F27870"/>
    <w:rsid w:val="00F31BD1"/>
    <w:rsid w:val="00F31E30"/>
    <w:rsid w:val="00F34418"/>
    <w:rsid w:val="00F345DC"/>
    <w:rsid w:val="00F35C6A"/>
    <w:rsid w:val="00F43D0B"/>
    <w:rsid w:val="00F5028C"/>
    <w:rsid w:val="00F51F51"/>
    <w:rsid w:val="00F524DE"/>
    <w:rsid w:val="00F56463"/>
    <w:rsid w:val="00F6106C"/>
    <w:rsid w:val="00F657A6"/>
    <w:rsid w:val="00F65EEC"/>
    <w:rsid w:val="00F6739A"/>
    <w:rsid w:val="00F70419"/>
    <w:rsid w:val="00F7735D"/>
    <w:rsid w:val="00F81796"/>
    <w:rsid w:val="00F82069"/>
    <w:rsid w:val="00F83A58"/>
    <w:rsid w:val="00F86276"/>
    <w:rsid w:val="00F875D4"/>
    <w:rsid w:val="00F934AA"/>
    <w:rsid w:val="00F96E47"/>
    <w:rsid w:val="00F97290"/>
    <w:rsid w:val="00FA32E7"/>
    <w:rsid w:val="00FA7A0D"/>
    <w:rsid w:val="00FC4504"/>
    <w:rsid w:val="00FD21F0"/>
    <w:rsid w:val="00FE11A1"/>
    <w:rsid w:val="00FF288E"/>
    <w:rsid w:val="00FF2AF5"/>
    <w:rsid w:val="00FF66DF"/>
    <w:rsid w:val="065CFF5C"/>
    <w:rsid w:val="0DB91DBA"/>
    <w:rsid w:val="2A98A1F1"/>
    <w:rsid w:val="49A89701"/>
    <w:rsid w:val="586DE44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9E8AC"/>
  <w15:chartTrackingRefBased/>
  <w15:docId w15:val="{F9C8AD6F-89D9-44F5-9705-60C2303D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华文楷体" w:hAnsi="Times New Roman" w:cs="Calibri"/>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66F"/>
    <w:pPr>
      <w:widowControl w:val="0"/>
      <w:spacing w:after="0" w:line="240" w:lineRule="auto"/>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rsid w:val="0025066F"/>
    <w:pPr>
      <w:snapToGrid w:val="0"/>
      <w:jc w:val="left"/>
    </w:pPr>
  </w:style>
  <w:style w:type="character" w:customStyle="1" w:styleId="a4">
    <w:name w:val="尾注文本 字符"/>
    <w:basedOn w:val="a0"/>
    <w:link w:val="a3"/>
    <w:semiHidden/>
    <w:rsid w:val="0025066F"/>
    <w:rPr>
      <w:rFonts w:ascii="Calibri" w:eastAsia="宋体" w:hAnsi="Calibri" w:cs="Times New Roman"/>
      <w:kern w:val="2"/>
      <w:sz w:val="21"/>
      <w:szCs w:val="22"/>
    </w:rPr>
  </w:style>
  <w:style w:type="paragraph" w:styleId="a5">
    <w:name w:val="Balloon Text"/>
    <w:basedOn w:val="a"/>
    <w:link w:val="a6"/>
    <w:uiPriority w:val="99"/>
    <w:semiHidden/>
    <w:unhideWhenUsed/>
    <w:rsid w:val="00280974"/>
    <w:rPr>
      <w:rFonts w:ascii="Segoe UI" w:hAnsi="Segoe UI" w:cs="Segoe UI"/>
      <w:sz w:val="18"/>
      <w:szCs w:val="18"/>
    </w:rPr>
  </w:style>
  <w:style w:type="character" w:customStyle="1" w:styleId="a6">
    <w:name w:val="批注框文本 字符"/>
    <w:basedOn w:val="a0"/>
    <w:link w:val="a5"/>
    <w:uiPriority w:val="99"/>
    <w:semiHidden/>
    <w:rsid w:val="00280974"/>
    <w:rPr>
      <w:rFonts w:ascii="Segoe UI" w:eastAsia="宋体" w:hAnsi="Segoe UI" w:cs="Segoe UI"/>
      <w:kern w:val="2"/>
      <w:sz w:val="18"/>
      <w:szCs w:val="18"/>
    </w:rPr>
  </w:style>
  <w:style w:type="paragraph" w:styleId="a7">
    <w:name w:val="header"/>
    <w:basedOn w:val="a"/>
    <w:link w:val="a8"/>
    <w:uiPriority w:val="99"/>
    <w:unhideWhenUsed/>
    <w:rsid w:val="008D4C61"/>
    <w:pPr>
      <w:tabs>
        <w:tab w:val="center" w:pos="4320"/>
        <w:tab w:val="right" w:pos="8640"/>
      </w:tabs>
    </w:pPr>
  </w:style>
  <w:style w:type="character" w:customStyle="1" w:styleId="a8">
    <w:name w:val="页眉 字符"/>
    <w:basedOn w:val="a0"/>
    <w:link w:val="a7"/>
    <w:uiPriority w:val="99"/>
    <w:rsid w:val="008D4C61"/>
    <w:rPr>
      <w:rFonts w:ascii="Calibri" w:eastAsia="宋体" w:hAnsi="Calibri" w:cs="Times New Roman"/>
      <w:kern w:val="2"/>
      <w:sz w:val="21"/>
      <w:szCs w:val="22"/>
    </w:rPr>
  </w:style>
  <w:style w:type="paragraph" w:styleId="a9">
    <w:name w:val="footer"/>
    <w:basedOn w:val="a"/>
    <w:link w:val="aa"/>
    <w:uiPriority w:val="99"/>
    <w:unhideWhenUsed/>
    <w:rsid w:val="008D4C61"/>
    <w:pPr>
      <w:tabs>
        <w:tab w:val="center" w:pos="4320"/>
        <w:tab w:val="right" w:pos="8640"/>
      </w:tabs>
    </w:pPr>
  </w:style>
  <w:style w:type="character" w:customStyle="1" w:styleId="aa">
    <w:name w:val="页脚 字符"/>
    <w:basedOn w:val="a0"/>
    <w:link w:val="a9"/>
    <w:uiPriority w:val="99"/>
    <w:rsid w:val="008D4C61"/>
    <w:rPr>
      <w:rFonts w:ascii="Calibri" w:eastAsia="宋体" w:hAnsi="Calibri" w:cs="Times New Roman"/>
      <w:kern w:val="2"/>
      <w:sz w:val="21"/>
      <w:szCs w:val="22"/>
    </w:rPr>
  </w:style>
  <w:style w:type="character" w:styleId="ab">
    <w:name w:val="annotation reference"/>
    <w:basedOn w:val="a0"/>
    <w:uiPriority w:val="99"/>
    <w:semiHidden/>
    <w:unhideWhenUsed/>
    <w:rsid w:val="00F26897"/>
    <w:rPr>
      <w:sz w:val="16"/>
      <w:szCs w:val="16"/>
    </w:rPr>
  </w:style>
  <w:style w:type="paragraph" w:styleId="ac">
    <w:name w:val="annotation text"/>
    <w:basedOn w:val="a"/>
    <w:link w:val="ad"/>
    <w:uiPriority w:val="99"/>
    <w:unhideWhenUsed/>
    <w:rsid w:val="00F26897"/>
    <w:rPr>
      <w:sz w:val="20"/>
      <w:szCs w:val="20"/>
    </w:rPr>
  </w:style>
  <w:style w:type="character" w:customStyle="1" w:styleId="ad">
    <w:name w:val="批注文字 字符"/>
    <w:basedOn w:val="a0"/>
    <w:link w:val="ac"/>
    <w:uiPriority w:val="99"/>
    <w:rsid w:val="00F26897"/>
    <w:rPr>
      <w:rFonts w:ascii="Calibri" w:eastAsia="宋体" w:hAnsi="Calibri" w:cs="Times New Roman"/>
      <w:kern w:val="2"/>
      <w:sz w:val="20"/>
      <w:szCs w:val="20"/>
    </w:rPr>
  </w:style>
  <w:style w:type="paragraph" w:styleId="ae">
    <w:name w:val="annotation subject"/>
    <w:basedOn w:val="ac"/>
    <w:next w:val="ac"/>
    <w:link w:val="af"/>
    <w:uiPriority w:val="99"/>
    <w:semiHidden/>
    <w:unhideWhenUsed/>
    <w:rsid w:val="00F26897"/>
    <w:rPr>
      <w:b/>
      <w:bCs/>
    </w:rPr>
  </w:style>
  <w:style w:type="character" w:customStyle="1" w:styleId="af">
    <w:name w:val="批注主题 字符"/>
    <w:basedOn w:val="ad"/>
    <w:link w:val="ae"/>
    <w:uiPriority w:val="99"/>
    <w:semiHidden/>
    <w:rsid w:val="00F26897"/>
    <w:rPr>
      <w:rFonts w:ascii="Calibri" w:eastAsia="宋体" w:hAnsi="Calibri" w:cs="Times New Roman"/>
      <w:b/>
      <w:bCs/>
      <w:kern w:val="2"/>
      <w:sz w:val="20"/>
      <w:szCs w:val="20"/>
    </w:rPr>
  </w:style>
  <w:style w:type="paragraph" w:customStyle="1" w:styleId="MacPacTrailer">
    <w:name w:val="MacPac Trailer"/>
    <w:rsid w:val="00455A3A"/>
    <w:pPr>
      <w:widowControl w:val="0"/>
      <w:spacing w:line="170" w:lineRule="exact"/>
    </w:pPr>
    <w:rPr>
      <w:sz w:val="14"/>
      <w:szCs w:val="22"/>
    </w:rPr>
  </w:style>
  <w:style w:type="character" w:styleId="af0">
    <w:name w:val="Placeholder Text"/>
    <w:basedOn w:val="a0"/>
    <w:uiPriority w:val="99"/>
    <w:semiHidden/>
    <w:rsid w:val="00455A3A"/>
    <w:rPr>
      <w:color w:val="808080"/>
    </w:rPr>
  </w:style>
  <w:style w:type="paragraph" w:styleId="af1">
    <w:name w:val="List Paragraph"/>
    <w:basedOn w:val="a"/>
    <w:uiPriority w:val="34"/>
    <w:qFormat/>
    <w:rsid w:val="005D179F"/>
    <w:pPr>
      <w:ind w:left="720"/>
      <w:contextualSpacing/>
    </w:pPr>
  </w:style>
  <w:style w:type="character" w:styleId="af2">
    <w:name w:val="Hyperlink"/>
    <w:basedOn w:val="a0"/>
    <w:uiPriority w:val="99"/>
    <w:unhideWhenUsed/>
    <w:rsid w:val="00AA3ED9"/>
    <w:rPr>
      <w:color w:val="0000FF"/>
      <w:u w:val="single"/>
    </w:rPr>
  </w:style>
  <w:style w:type="character" w:styleId="af3">
    <w:name w:val="FollowedHyperlink"/>
    <w:basedOn w:val="a0"/>
    <w:uiPriority w:val="99"/>
    <w:semiHidden/>
    <w:unhideWhenUsed/>
    <w:rsid w:val="004A0067"/>
    <w:rPr>
      <w:color w:val="954F72" w:themeColor="followedHyperlink"/>
      <w:u w:val="single"/>
    </w:rPr>
  </w:style>
  <w:style w:type="paragraph" w:styleId="af4">
    <w:name w:val="footnote text"/>
    <w:aliases w:val="ALTS FOOTNOTE,Car,Footnote Text Char Car,Footnote Text Char Car Car Car Car Car,Texto nota pie Car,Texto nota pie Car Car Car,Texto nota pie Car Car Car Car Car,Texto nota pie Car1 Car,Texto nota pie Car1 Car Car Car,fn,fn Car Car Car Car"/>
    <w:basedOn w:val="a"/>
    <w:link w:val="af5"/>
    <w:uiPriority w:val="99"/>
    <w:qFormat/>
    <w:rsid w:val="00DF7E9E"/>
    <w:pPr>
      <w:snapToGrid w:val="0"/>
      <w:jc w:val="left"/>
    </w:pPr>
    <w:rPr>
      <w:rFonts w:ascii="Times New Roman" w:hAnsi="Times New Roman"/>
      <w:sz w:val="18"/>
      <w:szCs w:val="18"/>
    </w:rPr>
  </w:style>
  <w:style w:type="character" w:customStyle="1" w:styleId="af5">
    <w:name w:val="脚注文本 字符"/>
    <w:aliases w:val="ALTS FOOTNOTE 字符,Car 字符,Footnote Text Char Car 字符,Footnote Text Char Car Car Car Car Car 字符,Texto nota pie Car 字符,Texto nota pie Car Car Car 字符,Texto nota pie Car Car Car Car Car 字符,Texto nota pie Car1 Car 字符,Texto nota pie Car1 Car Car Car 字符"/>
    <w:basedOn w:val="a0"/>
    <w:link w:val="af4"/>
    <w:uiPriority w:val="99"/>
    <w:rsid w:val="00DF7E9E"/>
    <w:rPr>
      <w:rFonts w:eastAsia="宋体" w:cs="Times New Roman"/>
      <w:kern w:val="2"/>
      <w:sz w:val="18"/>
      <w:szCs w:val="18"/>
    </w:rPr>
  </w:style>
  <w:style w:type="character" w:styleId="af6">
    <w:name w:val="footnote reference"/>
    <w:aliases w:val="(NECG) Footnote Reference,BVI fnr,EN Footnote Reference,EN Footnote Text,Footnote Reference Number,Footnote Reference_LVL6,Footnote Reference_LVL61,Footnote Reference_LVL62,Footnote Reference_LVL63,Footnote Reference_LVL64,fr,FC,Ref,o"/>
    <w:uiPriority w:val="99"/>
    <w:qFormat/>
    <w:rsid w:val="00DF7E9E"/>
    <w:rPr>
      <w:vertAlign w:val="superscript"/>
    </w:rPr>
  </w:style>
  <w:style w:type="table" w:styleId="af7">
    <w:name w:val="Table Grid"/>
    <w:basedOn w:val="a1"/>
    <w:rsid w:val="005653C7"/>
    <w:pPr>
      <w:spacing w:after="0" w:line="240" w:lineRule="auto"/>
    </w:pPr>
    <w:rPr>
      <w:rFonts w:eastAsia="宋体"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a0"/>
    <w:uiPriority w:val="99"/>
    <w:semiHidden/>
    <w:unhideWhenUsed/>
    <w:rsid w:val="006F2772"/>
    <w:rPr>
      <w:color w:val="605E5C"/>
      <w:shd w:val="clear" w:color="auto" w:fill="E1DFDD"/>
    </w:rPr>
  </w:style>
  <w:style w:type="paragraph" w:styleId="af8">
    <w:name w:val="Revision"/>
    <w:hidden/>
    <w:uiPriority w:val="99"/>
    <w:semiHidden/>
    <w:rsid w:val="00311A8D"/>
    <w:pPr>
      <w:spacing w:after="0" w:line="240" w:lineRule="auto"/>
    </w:pPr>
    <w:rPr>
      <w:rFonts w:ascii="Calibri" w:eastAsia="宋体" w:hAnsi="Calibri" w:cs="Times New Roman"/>
      <w:kern w:val="2"/>
      <w:sz w:val="21"/>
      <w:szCs w:val="22"/>
    </w:rPr>
  </w:style>
  <w:style w:type="paragraph" w:styleId="af9">
    <w:name w:val="Body Text"/>
    <w:basedOn w:val="a"/>
    <w:next w:val="afa"/>
    <w:link w:val="afb"/>
    <w:uiPriority w:val="99"/>
    <w:unhideWhenUsed/>
    <w:qFormat/>
    <w:rsid w:val="005E0D02"/>
    <w:pPr>
      <w:spacing w:after="120" w:line="278" w:lineRule="auto"/>
    </w:pPr>
    <w:rPr>
      <w:rFonts w:ascii="Times New Roman" w:hAnsi="Times New Roman"/>
      <w:szCs w:val="24"/>
    </w:rPr>
  </w:style>
  <w:style w:type="character" w:customStyle="1" w:styleId="afb">
    <w:name w:val="正文文本 字符"/>
    <w:basedOn w:val="a0"/>
    <w:link w:val="af9"/>
    <w:uiPriority w:val="99"/>
    <w:qFormat/>
    <w:rsid w:val="005E0D02"/>
    <w:rPr>
      <w:rFonts w:eastAsia="宋体" w:cs="Times New Roman"/>
      <w:kern w:val="2"/>
      <w:sz w:val="21"/>
    </w:rPr>
  </w:style>
  <w:style w:type="paragraph" w:styleId="afa">
    <w:name w:val="Body Text First Indent"/>
    <w:basedOn w:val="af9"/>
    <w:link w:val="afc"/>
    <w:uiPriority w:val="99"/>
    <w:semiHidden/>
    <w:unhideWhenUsed/>
    <w:rsid w:val="005E0D02"/>
    <w:pPr>
      <w:spacing w:line="240" w:lineRule="auto"/>
      <w:ind w:firstLineChars="100" w:firstLine="420"/>
    </w:pPr>
    <w:rPr>
      <w:rFonts w:ascii="Calibri" w:hAnsi="Calibri"/>
      <w:szCs w:val="22"/>
    </w:rPr>
  </w:style>
  <w:style w:type="character" w:customStyle="1" w:styleId="afc">
    <w:name w:val="正文文本首行缩进 字符"/>
    <w:basedOn w:val="afb"/>
    <w:link w:val="afa"/>
    <w:uiPriority w:val="99"/>
    <w:semiHidden/>
    <w:rsid w:val="005E0D02"/>
    <w:rPr>
      <w:rFonts w:eastAsia="宋体" w:cs="Times New Roman"/>
      <w:kern w:val="2"/>
      <w:sz w:val="21"/>
    </w:rPr>
  </w:style>
  <w:style w:type="paragraph" w:styleId="afd">
    <w:name w:val="Normal Indent"/>
    <w:basedOn w:val="a"/>
    <w:next w:val="a"/>
    <w:uiPriority w:val="99"/>
    <w:qFormat/>
    <w:rsid w:val="005E0D02"/>
    <w:pPr>
      <w:spacing w:after="160" w:line="278"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808">
      <w:bodyDiv w:val="1"/>
      <w:marLeft w:val="0"/>
      <w:marRight w:val="0"/>
      <w:marTop w:val="0"/>
      <w:marBottom w:val="0"/>
      <w:divBdr>
        <w:top w:val="none" w:sz="0" w:space="0" w:color="auto"/>
        <w:left w:val="none" w:sz="0" w:space="0" w:color="auto"/>
        <w:bottom w:val="none" w:sz="0" w:space="0" w:color="auto"/>
        <w:right w:val="none" w:sz="0" w:space="0" w:color="auto"/>
      </w:divBdr>
      <w:divsChild>
        <w:div w:id="23529561">
          <w:marLeft w:val="0"/>
          <w:marRight w:val="0"/>
          <w:marTop w:val="0"/>
          <w:marBottom w:val="0"/>
          <w:divBdr>
            <w:top w:val="none" w:sz="0" w:space="0" w:color="auto"/>
            <w:left w:val="none" w:sz="0" w:space="0" w:color="auto"/>
            <w:bottom w:val="none" w:sz="0" w:space="0" w:color="auto"/>
            <w:right w:val="none" w:sz="0" w:space="0" w:color="auto"/>
          </w:divBdr>
        </w:div>
        <w:div w:id="378481314">
          <w:marLeft w:val="0"/>
          <w:marRight w:val="0"/>
          <w:marTop w:val="0"/>
          <w:marBottom w:val="0"/>
          <w:divBdr>
            <w:top w:val="none" w:sz="0" w:space="0" w:color="auto"/>
            <w:left w:val="none" w:sz="0" w:space="0" w:color="auto"/>
            <w:bottom w:val="none" w:sz="0" w:space="0" w:color="auto"/>
            <w:right w:val="none" w:sz="0" w:space="0" w:color="auto"/>
          </w:divBdr>
        </w:div>
        <w:div w:id="500201985">
          <w:marLeft w:val="0"/>
          <w:marRight w:val="0"/>
          <w:marTop w:val="0"/>
          <w:marBottom w:val="0"/>
          <w:divBdr>
            <w:top w:val="none" w:sz="0" w:space="0" w:color="auto"/>
            <w:left w:val="none" w:sz="0" w:space="0" w:color="auto"/>
            <w:bottom w:val="none" w:sz="0" w:space="0" w:color="auto"/>
            <w:right w:val="none" w:sz="0" w:space="0" w:color="auto"/>
          </w:divBdr>
        </w:div>
        <w:div w:id="540942048">
          <w:marLeft w:val="0"/>
          <w:marRight w:val="0"/>
          <w:marTop w:val="0"/>
          <w:marBottom w:val="0"/>
          <w:divBdr>
            <w:top w:val="none" w:sz="0" w:space="0" w:color="auto"/>
            <w:left w:val="none" w:sz="0" w:space="0" w:color="auto"/>
            <w:bottom w:val="none" w:sz="0" w:space="0" w:color="auto"/>
            <w:right w:val="none" w:sz="0" w:space="0" w:color="auto"/>
          </w:divBdr>
        </w:div>
        <w:div w:id="578444035">
          <w:marLeft w:val="0"/>
          <w:marRight w:val="0"/>
          <w:marTop w:val="0"/>
          <w:marBottom w:val="0"/>
          <w:divBdr>
            <w:top w:val="none" w:sz="0" w:space="0" w:color="auto"/>
            <w:left w:val="none" w:sz="0" w:space="0" w:color="auto"/>
            <w:bottom w:val="none" w:sz="0" w:space="0" w:color="auto"/>
            <w:right w:val="none" w:sz="0" w:space="0" w:color="auto"/>
          </w:divBdr>
        </w:div>
        <w:div w:id="661591079">
          <w:marLeft w:val="0"/>
          <w:marRight w:val="0"/>
          <w:marTop w:val="0"/>
          <w:marBottom w:val="0"/>
          <w:divBdr>
            <w:top w:val="none" w:sz="0" w:space="0" w:color="auto"/>
            <w:left w:val="none" w:sz="0" w:space="0" w:color="auto"/>
            <w:bottom w:val="none" w:sz="0" w:space="0" w:color="auto"/>
            <w:right w:val="none" w:sz="0" w:space="0" w:color="auto"/>
          </w:divBdr>
        </w:div>
        <w:div w:id="665137087">
          <w:marLeft w:val="0"/>
          <w:marRight w:val="0"/>
          <w:marTop w:val="0"/>
          <w:marBottom w:val="0"/>
          <w:divBdr>
            <w:top w:val="none" w:sz="0" w:space="0" w:color="auto"/>
            <w:left w:val="none" w:sz="0" w:space="0" w:color="auto"/>
            <w:bottom w:val="none" w:sz="0" w:space="0" w:color="auto"/>
            <w:right w:val="none" w:sz="0" w:space="0" w:color="auto"/>
          </w:divBdr>
        </w:div>
        <w:div w:id="745104939">
          <w:marLeft w:val="0"/>
          <w:marRight w:val="0"/>
          <w:marTop w:val="0"/>
          <w:marBottom w:val="0"/>
          <w:divBdr>
            <w:top w:val="none" w:sz="0" w:space="0" w:color="auto"/>
            <w:left w:val="none" w:sz="0" w:space="0" w:color="auto"/>
            <w:bottom w:val="none" w:sz="0" w:space="0" w:color="auto"/>
            <w:right w:val="none" w:sz="0" w:space="0" w:color="auto"/>
          </w:divBdr>
        </w:div>
        <w:div w:id="1256599659">
          <w:marLeft w:val="0"/>
          <w:marRight w:val="0"/>
          <w:marTop w:val="0"/>
          <w:marBottom w:val="0"/>
          <w:divBdr>
            <w:top w:val="none" w:sz="0" w:space="0" w:color="auto"/>
            <w:left w:val="none" w:sz="0" w:space="0" w:color="auto"/>
            <w:bottom w:val="none" w:sz="0" w:space="0" w:color="auto"/>
            <w:right w:val="none" w:sz="0" w:space="0" w:color="auto"/>
          </w:divBdr>
        </w:div>
      </w:divsChild>
    </w:div>
    <w:div w:id="584581868">
      <w:bodyDiv w:val="1"/>
      <w:marLeft w:val="0"/>
      <w:marRight w:val="0"/>
      <w:marTop w:val="0"/>
      <w:marBottom w:val="0"/>
      <w:divBdr>
        <w:top w:val="none" w:sz="0" w:space="0" w:color="auto"/>
        <w:left w:val="none" w:sz="0" w:space="0" w:color="auto"/>
        <w:bottom w:val="none" w:sz="0" w:space="0" w:color="auto"/>
        <w:right w:val="none" w:sz="0" w:space="0" w:color="auto"/>
      </w:divBdr>
    </w:div>
    <w:div w:id="915169030">
      <w:bodyDiv w:val="1"/>
      <w:marLeft w:val="0"/>
      <w:marRight w:val="0"/>
      <w:marTop w:val="0"/>
      <w:marBottom w:val="0"/>
      <w:divBdr>
        <w:top w:val="none" w:sz="0" w:space="0" w:color="auto"/>
        <w:left w:val="none" w:sz="0" w:space="0" w:color="auto"/>
        <w:bottom w:val="none" w:sz="0" w:space="0" w:color="auto"/>
        <w:right w:val="none" w:sz="0" w:space="0" w:color="auto"/>
      </w:divBdr>
    </w:div>
    <w:div w:id="1147236446">
      <w:bodyDiv w:val="1"/>
      <w:marLeft w:val="0"/>
      <w:marRight w:val="0"/>
      <w:marTop w:val="0"/>
      <w:marBottom w:val="0"/>
      <w:divBdr>
        <w:top w:val="none" w:sz="0" w:space="0" w:color="auto"/>
        <w:left w:val="none" w:sz="0" w:space="0" w:color="auto"/>
        <w:bottom w:val="none" w:sz="0" w:space="0" w:color="auto"/>
        <w:right w:val="none" w:sz="0" w:space="0" w:color="auto"/>
      </w:divBdr>
      <w:divsChild>
        <w:div w:id="311372983">
          <w:marLeft w:val="0"/>
          <w:marRight w:val="0"/>
          <w:marTop w:val="0"/>
          <w:marBottom w:val="0"/>
          <w:divBdr>
            <w:top w:val="none" w:sz="0" w:space="0" w:color="auto"/>
            <w:left w:val="none" w:sz="0" w:space="0" w:color="auto"/>
            <w:bottom w:val="none" w:sz="0" w:space="0" w:color="auto"/>
            <w:right w:val="none" w:sz="0" w:space="0" w:color="auto"/>
          </w:divBdr>
        </w:div>
        <w:div w:id="1565945265">
          <w:marLeft w:val="0"/>
          <w:marRight w:val="0"/>
          <w:marTop w:val="0"/>
          <w:marBottom w:val="0"/>
          <w:divBdr>
            <w:top w:val="none" w:sz="0" w:space="0" w:color="auto"/>
            <w:left w:val="none" w:sz="0" w:space="0" w:color="auto"/>
            <w:bottom w:val="none" w:sz="0" w:space="0" w:color="auto"/>
            <w:right w:val="none" w:sz="0" w:space="0" w:color="auto"/>
          </w:divBdr>
        </w:div>
        <w:div w:id="2146466350">
          <w:marLeft w:val="0"/>
          <w:marRight w:val="0"/>
          <w:marTop w:val="0"/>
          <w:marBottom w:val="0"/>
          <w:divBdr>
            <w:top w:val="none" w:sz="0" w:space="0" w:color="auto"/>
            <w:left w:val="none" w:sz="0" w:space="0" w:color="auto"/>
            <w:bottom w:val="none" w:sz="0" w:space="0" w:color="auto"/>
            <w:right w:val="none" w:sz="0" w:space="0" w:color="auto"/>
          </w:divBdr>
        </w:div>
      </w:divsChild>
    </w:div>
    <w:div w:id="1151599641">
      <w:bodyDiv w:val="1"/>
      <w:marLeft w:val="0"/>
      <w:marRight w:val="0"/>
      <w:marTop w:val="0"/>
      <w:marBottom w:val="0"/>
      <w:divBdr>
        <w:top w:val="none" w:sz="0" w:space="0" w:color="auto"/>
        <w:left w:val="none" w:sz="0" w:space="0" w:color="auto"/>
        <w:bottom w:val="none" w:sz="0" w:space="0" w:color="auto"/>
        <w:right w:val="none" w:sz="0" w:space="0" w:color="auto"/>
      </w:divBdr>
      <w:divsChild>
        <w:div w:id="2321668">
          <w:marLeft w:val="0"/>
          <w:marRight w:val="0"/>
          <w:marTop w:val="0"/>
          <w:marBottom w:val="0"/>
          <w:divBdr>
            <w:top w:val="none" w:sz="0" w:space="0" w:color="auto"/>
            <w:left w:val="none" w:sz="0" w:space="0" w:color="auto"/>
            <w:bottom w:val="none" w:sz="0" w:space="0" w:color="auto"/>
            <w:right w:val="none" w:sz="0" w:space="0" w:color="auto"/>
          </w:divBdr>
        </w:div>
        <w:div w:id="692221134">
          <w:marLeft w:val="0"/>
          <w:marRight w:val="0"/>
          <w:marTop w:val="0"/>
          <w:marBottom w:val="0"/>
          <w:divBdr>
            <w:top w:val="none" w:sz="0" w:space="0" w:color="auto"/>
            <w:left w:val="none" w:sz="0" w:space="0" w:color="auto"/>
            <w:bottom w:val="none" w:sz="0" w:space="0" w:color="auto"/>
            <w:right w:val="none" w:sz="0" w:space="0" w:color="auto"/>
          </w:divBdr>
        </w:div>
        <w:div w:id="714308885">
          <w:marLeft w:val="0"/>
          <w:marRight w:val="0"/>
          <w:marTop w:val="0"/>
          <w:marBottom w:val="0"/>
          <w:divBdr>
            <w:top w:val="none" w:sz="0" w:space="0" w:color="auto"/>
            <w:left w:val="none" w:sz="0" w:space="0" w:color="auto"/>
            <w:bottom w:val="none" w:sz="0" w:space="0" w:color="auto"/>
            <w:right w:val="none" w:sz="0" w:space="0" w:color="auto"/>
          </w:divBdr>
        </w:div>
        <w:div w:id="714474016">
          <w:marLeft w:val="0"/>
          <w:marRight w:val="0"/>
          <w:marTop w:val="0"/>
          <w:marBottom w:val="0"/>
          <w:divBdr>
            <w:top w:val="none" w:sz="0" w:space="0" w:color="auto"/>
            <w:left w:val="none" w:sz="0" w:space="0" w:color="auto"/>
            <w:bottom w:val="none" w:sz="0" w:space="0" w:color="auto"/>
            <w:right w:val="none" w:sz="0" w:space="0" w:color="auto"/>
          </w:divBdr>
        </w:div>
        <w:div w:id="1244297290">
          <w:marLeft w:val="0"/>
          <w:marRight w:val="0"/>
          <w:marTop w:val="0"/>
          <w:marBottom w:val="0"/>
          <w:divBdr>
            <w:top w:val="none" w:sz="0" w:space="0" w:color="auto"/>
            <w:left w:val="none" w:sz="0" w:space="0" w:color="auto"/>
            <w:bottom w:val="none" w:sz="0" w:space="0" w:color="auto"/>
            <w:right w:val="none" w:sz="0" w:space="0" w:color="auto"/>
          </w:divBdr>
        </w:div>
        <w:div w:id="1370835173">
          <w:marLeft w:val="0"/>
          <w:marRight w:val="0"/>
          <w:marTop w:val="0"/>
          <w:marBottom w:val="0"/>
          <w:divBdr>
            <w:top w:val="none" w:sz="0" w:space="0" w:color="auto"/>
            <w:left w:val="none" w:sz="0" w:space="0" w:color="auto"/>
            <w:bottom w:val="none" w:sz="0" w:space="0" w:color="auto"/>
            <w:right w:val="none" w:sz="0" w:space="0" w:color="auto"/>
          </w:divBdr>
        </w:div>
        <w:div w:id="1565875157">
          <w:marLeft w:val="0"/>
          <w:marRight w:val="0"/>
          <w:marTop w:val="0"/>
          <w:marBottom w:val="0"/>
          <w:divBdr>
            <w:top w:val="none" w:sz="0" w:space="0" w:color="auto"/>
            <w:left w:val="none" w:sz="0" w:space="0" w:color="auto"/>
            <w:bottom w:val="none" w:sz="0" w:space="0" w:color="auto"/>
            <w:right w:val="none" w:sz="0" w:space="0" w:color="auto"/>
          </w:divBdr>
        </w:div>
        <w:div w:id="1733652736">
          <w:marLeft w:val="0"/>
          <w:marRight w:val="0"/>
          <w:marTop w:val="0"/>
          <w:marBottom w:val="0"/>
          <w:divBdr>
            <w:top w:val="none" w:sz="0" w:space="0" w:color="auto"/>
            <w:left w:val="none" w:sz="0" w:space="0" w:color="auto"/>
            <w:bottom w:val="none" w:sz="0" w:space="0" w:color="auto"/>
            <w:right w:val="none" w:sz="0" w:space="0" w:color="auto"/>
          </w:divBdr>
        </w:div>
        <w:div w:id="1872721657">
          <w:marLeft w:val="0"/>
          <w:marRight w:val="0"/>
          <w:marTop w:val="0"/>
          <w:marBottom w:val="0"/>
          <w:divBdr>
            <w:top w:val="none" w:sz="0" w:space="0" w:color="auto"/>
            <w:left w:val="none" w:sz="0" w:space="0" w:color="auto"/>
            <w:bottom w:val="none" w:sz="0" w:space="0" w:color="auto"/>
            <w:right w:val="none" w:sz="0" w:space="0" w:color="auto"/>
          </w:divBdr>
        </w:div>
      </w:divsChild>
    </w:div>
    <w:div w:id="1339649658">
      <w:bodyDiv w:val="1"/>
      <w:marLeft w:val="0"/>
      <w:marRight w:val="0"/>
      <w:marTop w:val="0"/>
      <w:marBottom w:val="0"/>
      <w:divBdr>
        <w:top w:val="none" w:sz="0" w:space="0" w:color="auto"/>
        <w:left w:val="none" w:sz="0" w:space="0" w:color="auto"/>
        <w:bottom w:val="none" w:sz="0" w:space="0" w:color="auto"/>
        <w:right w:val="none" w:sz="0" w:space="0" w:color="auto"/>
      </w:divBdr>
      <w:divsChild>
        <w:div w:id="1032609717">
          <w:marLeft w:val="0"/>
          <w:marRight w:val="0"/>
          <w:marTop w:val="0"/>
          <w:marBottom w:val="0"/>
          <w:divBdr>
            <w:top w:val="none" w:sz="0" w:space="0" w:color="auto"/>
            <w:left w:val="none" w:sz="0" w:space="0" w:color="auto"/>
            <w:bottom w:val="none" w:sz="0" w:space="0" w:color="auto"/>
            <w:right w:val="none" w:sz="0" w:space="0" w:color="auto"/>
          </w:divBdr>
        </w:div>
      </w:divsChild>
    </w:div>
    <w:div w:id="1530532106">
      <w:bodyDiv w:val="1"/>
      <w:marLeft w:val="0"/>
      <w:marRight w:val="0"/>
      <w:marTop w:val="0"/>
      <w:marBottom w:val="0"/>
      <w:divBdr>
        <w:top w:val="none" w:sz="0" w:space="0" w:color="auto"/>
        <w:left w:val="none" w:sz="0" w:space="0" w:color="auto"/>
        <w:bottom w:val="none" w:sz="0" w:space="0" w:color="auto"/>
        <w:right w:val="none" w:sz="0" w:space="0" w:color="auto"/>
      </w:divBdr>
    </w:div>
    <w:div w:id="1778984421">
      <w:bodyDiv w:val="1"/>
      <w:marLeft w:val="0"/>
      <w:marRight w:val="0"/>
      <w:marTop w:val="0"/>
      <w:marBottom w:val="0"/>
      <w:divBdr>
        <w:top w:val="none" w:sz="0" w:space="0" w:color="auto"/>
        <w:left w:val="none" w:sz="0" w:space="0" w:color="auto"/>
        <w:bottom w:val="none" w:sz="0" w:space="0" w:color="auto"/>
        <w:right w:val="none" w:sz="0" w:space="0" w:color="auto"/>
      </w:divBdr>
      <w:divsChild>
        <w:div w:id="628239789">
          <w:marLeft w:val="0"/>
          <w:marRight w:val="0"/>
          <w:marTop w:val="0"/>
          <w:marBottom w:val="0"/>
          <w:divBdr>
            <w:top w:val="none" w:sz="0" w:space="0" w:color="auto"/>
            <w:left w:val="none" w:sz="0" w:space="0" w:color="auto"/>
            <w:bottom w:val="none" w:sz="0" w:space="0" w:color="auto"/>
            <w:right w:val="none" w:sz="0" w:space="0" w:color="auto"/>
          </w:divBdr>
        </w:div>
        <w:div w:id="768816812">
          <w:marLeft w:val="0"/>
          <w:marRight w:val="0"/>
          <w:marTop w:val="0"/>
          <w:marBottom w:val="0"/>
          <w:divBdr>
            <w:top w:val="none" w:sz="0" w:space="0" w:color="auto"/>
            <w:left w:val="none" w:sz="0" w:space="0" w:color="auto"/>
            <w:bottom w:val="none" w:sz="0" w:space="0" w:color="auto"/>
            <w:right w:val="none" w:sz="0" w:space="0" w:color="auto"/>
          </w:divBdr>
        </w:div>
        <w:div w:id="150597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7B70C4AB7804C914BB3815B62750E" ma:contentTypeVersion="20" ma:contentTypeDescription="Create a new document." ma:contentTypeScope="" ma:versionID="fab580275d544fbe8fbc2983c49b17a3">
  <xsd:schema xmlns:xsd="http://www.w3.org/2001/XMLSchema" xmlns:xs="http://www.w3.org/2001/XMLSchema" xmlns:p="http://schemas.microsoft.com/office/2006/metadata/properties" xmlns:ns2="82ca9465-6592-4865-8df8-50b29f99d77c" xmlns:ns3="7f5a0742-ef6e-487d-b85c-bcb0b91a525f" targetNamespace="http://schemas.microsoft.com/office/2006/metadata/properties" ma:root="true" ma:fieldsID="46ebeb529f4348678db376e235db4064" ns2:_="" ns3:_="">
    <xsd:import namespace="82ca9465-6592-4865-8df8-50b29f99d77c"/>
    <xsd:import namespace="7f5a0742-ef6e-487d-b85c-bcb0b91a525f"/>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a9465-6592-4865-8df8-50b29f99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f69b7-1d2f-49b1-93d9-38fb064e8c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a0742-ef6e-487d-b85c-bcb0b91a52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3313bb-d8c6-4775-ab41-8402ec7b5384}" ma:internalName="TaxCatchAll" ma:showField="CatchAllData" ma:web="7f5a0742-ef6e-487d-b85c-bcb0b91a5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82ca9465-6592-4865-8df8-50b29f99d77c" xsi:nil="true"/>
    <MigrationWizIdSecurityGroups xmlns="82ca9465-6592-4865-8df8-50b29f99d77c" xsi:nil="true"/>
    <MigrationWizIdPermissions xmlns="82ca9465-6592-4865-8df8-50b29f99d77c" xsi:nil="true"/>
    <lcf76f155ced4ddcb4097134ff3c332f xmlns="82ca9465-6592-4865-8df8-50b29f99d77c">
      <Terms xmlns="http://schemas.microsoft.com/office/infopath/2007/PartnerControls"/>
    </lcf76f155ced4ddcb4097134ff3c332f>
    <MigrationWizIdPermissionLevels xmlns="82ca9465-6592-4865-8df8-50b29f99d77c" xsi:nil="true"/>
    <TaxCatchAll xmlns="7f5a0742-ef6e-487d-b85c-bcb0b91a525f" xsi:nil="true"/>
    <MigrationWizId xmlns="82ca9465-6592-4865-8df8-50b29f99d7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8383E-B1D3-4824-9988-020054D11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a9465-6592-4865-8df8-50b29f99d77c"/>
    <ds:schemaRef ds:uri="7f5a0742-ef6e-487d-b85c-bcb0b91a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C413C-B05D-42D0-B37F-CDF17CE7D89F}">
  <ds:schemaRefs>
    <ds:schemaRef ds:uri="http://schemas.microsoft.com/sharepoint/v3/contenttype/forms"/>
  </ds:schemaRefs>
</ds:datastoreItem>
</file>

<file path=customXml/itemProps3.xml><?xml version="1.0" encoding="utf-8"?>
<ds:datastoreItem xmlns:ds="http://schemas.openxmlformats.org/officeDocument/2006/customXml" ds:itemID="{99BF7644-13BB-437F-8A3F-E6B685454AD5}">
  <ds:schemaRefs>
    <ds:schemaRef ds:uri="http://schemas.microsoft.com/office/2006/metadata/properties"/>
    <ds:schemaRef ds:uri="http://schemas.microsoft.com/office/infopath/2007/PartnerControls"/>
    <ds:schemaRef ds:uri="82ca9465-6592-4865-8df8-50b29f99d77c"/>
    <ds:schemaRef ds:uri="7f5a0742-ef6e-487d-b85c-bcb0b91a525f"/>
  </ds:schemaRefs>
</ds:datastoreItem>
</file>

<file path=customXml/itemProps4.xml><?xml version="1.0" encoding="utf-8"?>
<ds:datastoreItem xmlns:ds="http://schemas.openxmlformats.org/officeDocument/2006/customXml" ds:itemID="{15D11022-E60C-42C1-A571-E90D83B2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12</cp:revision>
  <dcterms:created xsi:type="dcterms:W3CDTF">2024-12-18T03:38:00Z</dcterms:created>
  <dcterms:modified xsi:type="dcterms:W3CDTF">2026-03-13T07:57:00Z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vt:lpwstr>
  </property>
  <property fmtid="{D5CDD505-2E9C-101B-9397-08002B2CF9AE}" pid="3" name="docVersion">
    <vt:lpwstr>0</vt:lpwstr>
  </property>
  <property fmtid="{D5CDD505-2E9C-101B-9397-08002B2CF9AE}" pid="4" name="docCliMat">
    <vt:lpwstr/>
  </property>
  <property fmtid="{D5CDD505-2E9C-101B-9397-08002B2CF9AE}" pid="5" name="docIncludeCliMat">
    <vt:lpwstr>true</vt:lpwstr>
  </property>
  <property fmtid="{D5CDD505-2E9C-101B-9397-08002B2CF9AE}" pid="6" name="docIncludeVersion">
    <vt:lpwstr>true</vt:lpwstr>
  </property>
  <property fmtid="{D5CDD505-2E9C-101B-9397-08002B2CF9AE}" pid="7" name="MSIP_Label_cbd44c7d-620d-47a0-b6d1-13ac1e5903bc_Enabled">
    <vt:lpwstr>true</vt:lpwstr>
  </property>
  <property fmtid="{D5CDD505-2E9C-101B-9397-08002B2CF9AE}" pid="8" name="MSIP_Label_cbd44c7d-620d-47a0-b6d1-13ac1e5903bc_SetDate">
    <vt:lpwstr>2022-02-15T01:10:47Z</vt:lpwstr>
  </property>
  <property fmtid="{D5CDD505-2E9C-101B-9397-08002B2CF9AE}" pid="9" name="MSIP_Label_cbd44c7d-620d-47a0-b6d1-13ac1e5903bc_Method">
    <vt:lpwstr>Standard</vt:lpwstr>
  </property>
  <property fmtid="{D5CDD505-2E9C-101B-9397-08002B2CF9AE}" pid="10" name="MSIP_Label_cbd44c7d-620d-47a0-b6d1-13ac1e5903bc_Name">
    <vt:lpwstr>Privilégiée - Pilote Affaires Juridiques</vt:lpwstr>
  </property>
  <property fmtid="{D5CDD505-2E9C-101B-9397-08002B2CF9AE}" pid="11" name="MSIP_Label_cbd44c7d-620d-47a0-b6d1-13ac1e5903bc_SiteId">
    <vt:lpwstr>0bdbe027-8f50-4ec3-843f-e27c41a63957</vt:lpwstr>
  </property>
  <property fmtid="{D5CDD505-2E9C-101B-9397-08002B2CF9AE}" pid="12" name="MSIP_Label_cbd44c7d-620d-47a0-b6d1-13ac1e5903bc_ActionId">
    <vt:lpwstr>deb58a57-db4c-44a1-8db5-c351775d4904</vt:lpwstr>
  </property>
  <property fmtid="{D5CDD505-2E9C-101B-9397-08002B2CF9AE}" pid="13" name="MSIP_Label_cbd44c7d-620d-47a0-b6d1-13ac1e5903bc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2022-09-27T04:47:23Z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72cc5fdb-a93d-45a1-af73-3d9fe980f90f</vt:lpwstr>
  </property>
  <property fmtid="{D5CDD505-2E9C-101B-9397-08002B2CF9AE}" pid="19" name="MSIP_Label_defa4170-0d19-0005-0004-bc88714345d2_ActionId">
    <vt:lpwstr>81417ff5-279c-4b8e-bb40-8e927cba6698</vt:lpwstr>
  </property>
  <property fmtid="{D5CDD505-2E9C-101B-9397-08002B2CF9AE}" pid="20" name="MSIP_Label_defa4170-0d19-0005-0004-bc88714345d2_ContentBits">
    <vt:lpwstr>0</vt:lpwstr>
  </property>
  <property fmtid="{D5CDD505-2E9C-101B-9397-08002B2CF9AE}" pid="21" name="ContentTypeId">
    <vt:lpwstr>0x010100BEF7B70C4AB7804C914BB3815B62750E</vt:lpwstr>
  </property>
  <property fmtid="{D5CDD505-2E9C-101B-9397-08002B2CF9AE}" pid="22" name="MediaServiceImageTags">
    <vt:lpwstr/>
  </property>
</Properties>
</file>