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240"/>
        <w:jc w:val="center"/>
        <w:rPr>
          <w:rFonts w:eastAsia="方正小标宋简体"/>
          <w:bCs/>
          <w:kern w:val="0"/>
          <w:sz w:val="44"/>
          <w:szCs w:val="44"/>
          <w:lang w:val="en-GB" w:bidi="ar-AE"/>
        </w:rPr>
      </w:pPr>
      <w:r>
        <w:rPr>
          <w:rFonts w:eastAsia="黑体"/>
          <w:bCs/>
          <w:sz w:val="44"/>
          <w:szCs w:val="44"/>
        </w:rPr>
        <w:t xml:space="preserve"> </w:t>
      </w:r>
      <w:r>
        <w:rPr>
          <w:rFonts w:eastAsia="方正小标宋简体"/>
          <w:bCs/>
          <w:kern w:val="0"/>
          <w:sz w:val="44"/>
          <w:szCs w:val="44"/>
          <w:lang w:val="en-GB" w:bidi="ar-AE"/>
        </w:rPr>
        <w:t>经营者集中简易案件公示表</w:t>
      </w:r>
    </w:p>
    <w:tbl>
      <w:tblPr>
        <w:tblStyle w:val="14"/>
        <w:tblW w:w="9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0"/>
        <w:gridCol w:w="1607"/>
        <w:gridCol w:w="60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  <w:jc w:val="center"/>
        </w:trPr>
        <w:tc>
          <w:tcPr>
            <w:tcW w:w="1940" w:type="dxa"/>
            <w:vAlign w:val="center"/>
          </w:tcPr>
          <w:p>
            <w:pPr>
              <w:pStyle w:val="7"/>
              <w:adjustRightInd w:val="0"/>
              <w:snapToGrid w:val="0"/>
              <w:spacing w:after="0"/>
              <w:jc w:val="center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sz w:val="24"/>
              </w:rPr>
              <w:t>案件名称</w:t>
            </w:r>
          </w:p>
        </w:tc>
        <w:tc>
          <w:tcPr>
            <w:tcW w:w="7700" w:type="dxa"/>
            <w:gridSpan w:val="2"/>
            <w:vAlign w:val="center"/>
          </w:tcPr>
          <w:p>
            <w:pPr>
              <w:adjustRightInd w:val="0"/>
              <w:snapToGrid w:val="0"/>
              <w:rPr>
                <w:bCs/>
                <w:color w:val="000000"/>
                <w:szCs w:val="21"/>
              </w:rPr>
            </w:pPr>
            <w:r>
              <w:rPr>
                <w:rFonts w:hint="eastAsia"/>
                <w:bCs/>
                <w:color w:val="000000"/>
                <w:sz w:val="22"/>
                <w:szCs w:val="22"/>
              </w:rPr>
              <w:t>广西能源集团有限公司收购中电投广西核电有限公司股权案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5" w:hRule="atLeast"/>
          <w:jc w:val="center"/>
        </w:trPr>
        <w:tc>
          <w:tcPr>
            <w:tcW w:w="1940" w:type="dxa"/>
            <w:vAlign w:val="center"/>
          </w:tcPr>
          <w:p>
            <w:pPr>
              <w:pStyle w:val="7"/>
              <w:adjustRightInd w:val="0"/>
              <w:snapToGrid w:val="0"/>
              <w:spacing w:after="0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交易概况</w:t>
            </w:r>
          </w:p>
          <w:p>
            <w:pPr>
              <w:pStyle w:val="7"/>
              <w:adjustRightInd w:val="0"/>
              <w:snapToGrid w:val="0"/>
              <w:spacing w:after="0"/>
              <w:jc w:val="center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sz w:val="24"/>
              </w:rPr>
              <w:t>（限200字内）</w:t>
            </w:r>
          </w:p>
        </w:tc>
        <w:tc>
          <w:tcPr>
            <w:tcW w:w="7700" w:type="dxa"/>
            <w:gridSpan w:val="2"/>
            <w:vAlign w:val="center"/>
          </w:tcPr>
          <w:p>
            <w:pPr>
              <w:adjustRightInd w:val="0"/>
              <w:snapToGrid w:val="0"/>
              <w:rPr>
                <w:bCs/>
                <w:color w:val="000000"/>
                <w:szCs w:val="21"/>
              </w:rPr>
            </w:pPr>
            <w:r>
              <w:rPr>
                <w:bCs/>
                <w:color w:val="000000"/>
                <w:sz w:val="22"/>
                <w:szCs w:val="22"/>
              </w:rPr>
              <w:t>国家核电技术有限公司（“国家核电”）与广</w:t>
            </w:r>
            <w:r>
              <w:rPr>
                <w:rFonts w:hint="eastAsia"/>
                <w:bCs/>
                <w:color w:val="000000"/>
                <w:sz w:val="22"/>
                <w:szCs w:val="22"/>
              </w:rPr>
              <w:t>西</w:t>
            </w:r>
            <w:r>
              <w:rPr>
                <w:bCs/>
                <w:color w:val="000000"/>
                <w:sz w:val="22"/>
                <w:szCs w:val="22"/>
              </w:rPr>
              <w:t>能源集团有限公司（“广</w:t>
            </w:r>
            <w:r>
              <w:rPr>
                <w:rFonts w:hint="eastAsia"/>
                <w:bCs/>
                <w:color w:val="000000"/>
                <w:sz w:val="22"/>
                <w:szCs w:val="22"/>
              </w:rPr>
              <w:t>西</w:t>
            </w:r>
            <w:r>
              <w:rPr>
                <w:bCs/>
                <w:color w:val="000000"/>
                <w:sz w:val="22"/>
                <w:szCs w:val="22"/>
              </w:rPr>
              <w:t>能源”）</w:t>
            </w:r>
            <w:r>
              <w:rPr>
                <w:rFonts w:hint="eastAsia"/>
                <w:bCs/>
                <w:color w:val="000000"/>
                <w:sz w:val="22"/>
                <w:szCs w:val="22"/>
              </w:rPr>
              <w:t>等</w:t>
            </w:r>
            <w:r>
              <w:rPr>
                <w:bCs/>
                <w:color w:val="000000"/>
                <w:sz w:val="22"/>
                <w:szCs w:val="22"/>
              </w:rPr>
              <w:t>签署《</w:t>
            </w:r>
            <w:r>
              <w:rPr>
                <w:rFonts w:hint="eastAsia"/>
                <w:bCs/>
                <w:color w:val="000000"/>
                <w:sz w:val="22"/>
                <w:szCs w:val="22"/>
              </w:rPr>
              <w:t>关于广西白龙核电项目一期工程出资协议书</w:t>
            </w:r>
            <w:r>
              <w:rPr>
                <w:bCs/>
                <w:color w:val="000000"/>
                <w:sz w:val="22"/>
                <w:szCs w:val="22"/>
              </w:rPr>
              <w:t>》，</w:t>
            </w:r>
            <w:r>
              <w:rPr>
                <w:rFonts w:hint="eastAsia"/>
                <w:bCs/>
                <w:color w:val="000000"/>
                <w:sz w:val="22"/>
                <w:szCs w:val="22"/>
              </w:rPr>
              <w:t>广西能源拟通过</w:t>
            </w:r>
            <w:r>
              <w:rPr>
                <w:bCs/>
                <w:color w:val="000000"/>
                <w:sz w:val="22"/>
                <w:szCs w:val="22"/>
              </w:rPr>
              <w:t>增资扩股</w:t>
            </w:r>
            <w:r>
              <w:rPr>
                <w:rFonts w:hint="eastAsia"/>
                <w:bCs/>
                <w:color w:val="000000"/>
                <w:sz w:val="22"/>
                <w:szCs w:val="22"/>
              </w:rPr>
              <w:t>的</w:t>
            </w:r>
            <w:r>
              <w:rPr>
                <w:bCs/>
                <w:color w:val="000000"/>
                <w:sz w:val="22"/>
                <w:szCs w:val="22"/>
              </w:rPr>
              <w:t>形式收购</w:t>
            </w:r>
            <w:r>
              <w:rPr>
                <w:rFonts w:hint="eastAsia"/>
                <w:bCs/>
                <w:color w:val="000000"/>
                <w:sz w:val="22"/>
                <w:szCs w:val="22"/>
              </w:rPr>
              <w:t>中电投广西</w:t>
            </w:r>
            <w:r>
              <w:rPr>
                <w:bCs/>
                <w:color w:val="000000"/>
                <w:sz w:val="22"/>
                <w:szCs w:val="22"/>
              </w:rPr>
              <w:t>核电有限公司（“</w:t>
            </w:r>
            <w:r>
              <w:rPr>
                <w:rFonts w:hint="eastAsia"/>
                <w:bCs/>
                <w:color w:val="000000"/>
                <w:sz w:val="22"/>
                <w:szCs w:val="22"/>
              </w:rPr>
              <w:t>广西</w:t>
            </w:r>
            <w:r>
              <w:rPr>
                <w:bCs/>
                <w:color w:val="000000"/>
                <w:sz w:val="22"/>
                <w:szCs w:val="22"/>
              </w:rPr>
              <w:t>核电”）</w:t>
            </w:r>
            <w:r>
              <w:rPr>
                <w:rFonts w:hint="eastAsia"/>
                <w:bCs/>
                <w:color w:val="000000"/>
                <w:sz w:val="22"/>
                <w:szCs w:val="22"/>
              </w:rPr>
              <w:t>23%</w:t>
            </w:r>
            <w:r>
              <w:rPr>
                <w:bCs/>
                <w:color w:val="000000"/>
                <w:sz w:val="22"/>
                <w:szCs w:val="22"/>
              </w:rPr>
              <w:t>股权</w:t>
            </w:r>
            <w:r>
              <w:rPr>
                <w:rFonts w:hint="eastAsia"/>
                <w:bCs/>
                <w:color w:val="000000"/>
                <w:sz w:val="22"/>
                <w:szCs w:val="22"/>
              </w:rPr>
              <w:t>。广西</w:t>
            </w:r>
            <w:r>
              <w:rPr>
                <w:bCs/>
                <w:color w:val="000000"/>
                <w:sz w:val="22"/>
                <w:szCs w:val="22"/>
              </w:rPr>
              <w:t>核电在中国境内开展核力发电业务。</w:t>
            </w:r>
            <w:r>
              <w:rPr>
                <w:rFonts w:hint="eastAsia"/>
                <w:bCs/>
                <w:color w:val="000000"/>
                <w:sz w:val="22"/>
                <w:szCs w:val="22"/>
              </w:rPr>
              <w:t>交易前，国家核电持有广西核电100%的股权，单独控制广西核电。</w:t>
            </w:r>
            <w:r>
              <w:rPr>
                <w:bCs/>
                <w:color w:val="000000"/>
                <w:sz w:val="22"/>
                <w:szCs w:val="22"/>
              </w:rPr>
              <w:t>交易后，国家核电、广</w:t>
            </w:r>
            <w:r>
              <w:rPr>
                <w:rFonts w:hint="eastAsia"/>
                <w:bCs/>
                <w:color w:val="000000"/>
                <w:sz w:val="22"/>
                <w:szCs w:val="22"/>
              </w:rPr>
              <w:t>西</w:t>
            </w:r>
            <w:r>
              <w:rPr>
                <w:bCs/>
                <w:color w:val="000000"/>
                <w:sz w:val="22"/>
                <w:szCs w:val="22"/>
              </w:rPr>
              <w:t>能源分别持有</w:t>
            </w:r>
            <w:r>
              <w:rPr>
                <w:rFonts w:hint="eastAsia"/>
                <w:bCs/>
                <w:color w:val="000000"/>
                <w:sz w:val="22"/>
                <w:szCs w:val="22"/>
              </w:rPr>
              <w:t>广西</w:t>
            </w:r>
            <w:r>
              <w:rPr>
                <w:bCs/>
                <w:color w:val="000000"/>
                <w:sz w:val="22"/>
                <w:szCs w:val="22"/>
              </w:rPr>
              <w:t>核电5</w:t>
            </w:r>
            <w:r>
              <w:rPr>
                <w:rFonts w:hint="eastAsia"/>
                <w:bCs/>
                <w:color w:val="000000"/>
                <w:sz w:val="22"/>
                <w:szCs w:val="22"/>
              </w:rPr>
              <w:t>1</w:t>
            </w:r>
            <w:r>
              <w:rPr>
                <w:bCs/>
                <w:color w:val="000000"/>
                <w:sz w:val="22"/>
                <w:szCs w:val="22"/>
              </w:rPr>
              <w:t>%、2</w:t>
            </w:r>
            <w:r>
              <w:rPr>
                <w:rFonts w:hint="eastAsia"/>
                <w:bCs/>
                <w:color w:val="000000"/>
                <w:sz w:val="22"/>
                <w:szCs w:val="22"/>
              </w:rPr>
              <w:t>3</w:t>
            </w:r>
            <w:r>
              <w:rPr>
                <w:bCs/>
                <w:color w:val="000000"/>
                <w:sz w:val="22"/>
                <w:szCs w:val="22"/>
              </w:rPr>
              <w:t>%</w:t>
            </w:r>
            <w:r>
              <w:rPr>
                <w:rFonts w:hint="eastAsia"/>
                <w:bCs/>
                <w:color w:val="000000"/>
                <w:sz w:val="22"/>
                <w:szCs w:val="22"/>
              </w:rPr>
              <w:t>的</w:t>
            </w:r>
            <w:r>
              <w:rPr>
                <w:bCs/>
                <w:color w:val="000000"/>
                <w:sz w:val="22"/>
                <w:szCs w:val="22"/>
              </w:rPr>
              <w:t>股权，双方共同控制</w:t>
            </w:r>
            <w:r>
              <w:rPr>
                <w:rFonts w:hint="eastAsia"/>
                <w:bCs/>
                <w:color w:val="000000"/>
                <w:sz w:val="22"/>
                <w:szCs w:val="22"/>
              </w:rPr>
              <w:t>广西</w:t>
            </w:r>
            <w:r>
              <w:rPr>
                <w:bCs/>
                <w:color w:val="000000"/>
                <w:sz w:val="22"/>
                <w:szCs w:val="22"/>
              </w:rPr>
              <w:t>核电。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3" w:hRule="atLeast"/>
          <w:jc w:val="center"/>
        </w:trPr>
        <w:tc>
          <w:tcPr>
            <w:tcW w:w="1940" w:type="dxa"/>
            <w:vMerge w:val="restart"/>
            <w:vAlign w:val="center"/>
          </w:tcPr>
          <w:p>
            <w:pPr>
              <w:pStyle w:val="7"/>
              <w:adjustRightInd w:val="0"/>
              <w:snapToGrid w:val="0"/>
              <w:spacing w:after="0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参与集中的</w:t>
            </w:r>
          </w:p>
          <w:p>
            <w:pPr>
              <w:pStyle w:val="7"/>
              <w:adjustRightInd w:val="0"/>
              <w:snapToGrid w:val="0"/>
              <w:spacing w:after="0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经营者简介</w:t>
            </w:r>
          </w:p>
          <w:p>
            <w:pPr>
              <w:pStyle w:val="7"/>
              <w:adjustRightInd w:val="0"/>
              <w:snapToGrid w:val="0"/>
              <w:spacing w:after="0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（每个限100</w:t>
            </w:r>
          </w:p>
          <w:p>
            <w:pPr>
              <w:pStyle w:val="7"/>
              <w:adjustRightInd w:val="0"/>
              <w:snapToGrid w:val="0"/>
              <w:spacing w:after="0"/>
              <w:jc w:val="center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sz w:val="24"/>
              </w:rPr>
              <w:t>字以内）</w:t>
            </w:r>
          </w:p>
        </w:tc>
        <w:tc>
          <w:tcPr>
            <w:tcW w:w="1607" w:type="dxa"/>
            <w:vAlign w:val="center"/>
          </w:tcPr>
          <w:p>
            <w:pPr>
              <w:pStyle w:val="7"/>
              <w:adjustRightInd w:val="0"/>
              <w:snapToGrid w:val="0"/>
              <w:spacing w:after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1.</w:t>
            </w:r>
            <w:r>
              <w:rPr>
                <w:rFonts w:hint="eastAsia"/>
                <w:bCs/>
                <w:color w:val="000000"/>
                <w:sz w:val="22"/>
                <w:szCs w:val="22"/>
              </w:rPr>
              <w:t>国家核电</w:t>
            </w:r>
          </w:p>
        </w:tc>
        <w:tc>
          <w:tcPr>
            <w:tcW w:w="6093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bCs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/>
                <w:bCs/>
                <w:color w:val="000000"/>
                <w:sz w:val="22"/>
                <w:szCs w:val="22"/>
                <w:lang w:bidi="ar"/>
              </w:rPr>
              <w:t>国家核电于2007年5月18日成立于北京市，主要业务为核力发电业务、技术推广服务等。</w:t>
            </w:r>
          </w:p>
          <w:p>
            <w:pPr>
              <w:widowControl/>
              <w:adjustRightInd w:val="0"/>
              <w:snapToGrid w:val="0"/>
              <w:jc w:val="left"/>
            </w:pPr>
            <w:r>
              <w:rPr>
                <w:rFonts w:hint="eastAsia"/>
                <w:bCs/>
                <w:color w:val="000000"/>
                <w:sz w:val="22"/>
                <w:szCs w:val="22"/>
                <w:lang w:bidi="ar"/>
              </w:rPr>
              <w:t>国家核电的最终控制人为国家电力投资集团有限公司（“国家电投集团”），主要业务为项目投资以及电力、热力、铝土矿、氧化铝、电解铝的开发、建设、经营、生产及管理等。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2" w:hRule="atLeast"/>
          <w:jc w:val="center"/>
        </w:trPr>
        <w:tc>
          <w:tcPr>
            <w:tcW w:w="1940" w:type="dxa"/>
            <w:vMerge w:val="continue"/>
            <w:vAlign w:val="center"/>
          </w:tcPr>
          <w:p>
            <w:pPr>
              <w:pStyle w:val="7"/>
              <w:adjustRightInd w:val="0"/>
              <w:snapToGrid w:val="0"/>
              <w:spacing w:after="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607" w:type="dxa"/>
            <w:vAlign w:val="center"/>
          </w:tcPr>
          <w:p>
            <w:pPr>
              <w:pStyle w:val="7"/>
              <w:adjustRightInd w:val="0"/>
              <w:snapToGrid w:val="0"/>
              <w:spacing w:after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2.</w:t>
            </w:r>
            <w:r>
              <w:rPr>
                <w:rFonts w:hint="eastAsia"/>
                <w:bCs/>
                <w:color w:val="000000"/>
                <w:sz w:val="22"/>
                <w:szCs w:val="22"/>
              </w:rPr>
              <w:t>广西能源</w:t>
            </w:r>
          </w:p>
        </w:tc>
        <w:tc>
          <w:tcPr>
            <w:tcW w:w="6093" w:type="dxa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bCs/>
                <w:color w:val="000000"/>
                <w:sz w:val="22"/>
                <w:szCs w:val="22"/>
                <w:lang w:bidi="ar"/>
              </w:rPr>
            </w:pPr>
            <w:r>
              <w:rPr>
                <w:bCs/>
                <w:color w:val="000000"/>
                <w:sz w:val="22"/>
                <w:szCs w:val="22"/>
                <w:lang w:bidi="ar"/>
              </w:rPr>
              <w:t>广</w:t>
            </w:r>
            <w:r>
              <w:rPr>
                <w:rFonts w:hint="eastAsia"/>
                <w:bCs/>
                <w:color w:val="000000"/>
                <w:sz w:val="22"/>
                <w:szCs w:val="22"/>
                <w:lang w:bidi="ar"/>
              </w:rPr>
              <w:t>西</w:t>
            </w:r>
            <w:r>
              <w:rPr>
                <w:bCs/>
                <w:color w:val="000000"/>
                <w:sz w:val="22"/>
                <w:szCs w:val="22"/>
                <w:lang w:bidi="ar"/>
              </w:rPr>
              <w:t>能源于200</w:t>
            </w:r>
            <w:r>
              <w:rPr>
                <w:rFonts w:hint="eastAsia"/>
                <w:bCs/>
                <w:color w:val="000000"/>
                <w:sz w:val="22"/>
                <w:szCs w:val="22"/>
                <w:lang w:bidi="ar"/>
              </w:rPr>
              <w:t>3</w:t>
            </w:r>
            <w:r>
              <w:rPr>
                <w:bCs/>
                <w:color w:val="000000"/>
                <w:sz w:val="22"/>
                <w:szCs w:val="22"/>
                <w:lang w:bidi="ar"/>
              </w:rPr>
              <w:t>年</w:t>
            </w:r>
            <w:r>
              <w:rPr>
                <w:rFonts w:hint="eastAsia"/>
                <w:bCs/>
                <w:color w:val="000000"/>
                <w:sz w:val="22"/>
                <w:szCs w:val="22"/>
                <w:lang w:bidi="ar"/>
              </w:rPr>
              <w:t>7</w:t>
            </w:r>
            <w:r>
              <w:rPr>
                <w:bCs/>
                <w:color w:val="000000"/>
                <w:sz w:val="22"/>
                <w:szCs w:val="22"/>
                <w:lang w:bidi="ar"/>
              </w:rPr>
              <w:t>月</w:t>
            </w:r>
            <w:r>
              <w:rPr>
                <w:rFonts w:hint="eastAsia"/>
                <w:bCs/>
                <w:color w:val="000000"/>
                <w:sz w:val="22"/>
                <w:szCs w:val="22"/>
                <w:lang w:bidi="ar"/>
              </w:rPr>
              <w:t>9</w:t>
            </w:r>
            <w:r>
              <w:rPr>
                <w:bCs/>
                <w:color w:val="000000"/>
                <w:sz w:val="22"/>
                <w:szCs w:val="22"/>
                <w:lang w:bidi="ar"/>
              </w:rPr>
              <w:t>日成立于</w:t>
            </w:r>
            <w:r>
              <w:rPr>
                <w:rFonts w:hint="eastAsia"/>
                <w:bCs/>
                <w:color w:val="000000"/>
                <w:sz w:val="22"/>
                <w:szCs w:val="22"/>
                <w:lang w:bidi="ar"/>
              </w:rPr>
              <w:t>广西壮族自治区南宁市</w:t>
            </w:r>
            <w:r>
              <w:rPr>
                <w:bCs/>
                <w:color w:val="000000"/>
                <w:sz w:val="22"/>
                <w:szCs w:val="22"/>
                <w:lang w:bidi="ar"/>
              </w:rPr>
              <w:t>，主要业务为</w:t>
            </w:r>
            <w:r>
              <w:rPr>
                <w:rFonts w:hint="eastAsia"/>
                <w:bCs/>
                <w:color w:val="000000"/>
                <w:sz w:val="22"/>
                <w:szCs w:val="22"/>
                <w:lang w:bidi="ar"/>
              </w:rPr>
              <w:t>能源产业投资、建设、运营、管理</w:t>
            </w:r>
            <w:r>
              <w:rPr>
                <w:bCs/>
                <w:color w:val="000000"/>
                <w:sz w:val="22"/>
                <w:szCs w:val="22"/>
                <w:lang w:bidi="ar"/>
              </w:rPr>
              <w:t>等。</w:t>
            </w:r>
          </w:p>
          <w:p>
            <w:pPr>
              <w:widowControl/>
              <w:adjustRightInd w:val="0"/>
              <w:snapToGrid w:val="0"/>
              <w:jc w:val="left"/>
            </w:pPr>
            <w:r>
              <w:rPr>
                <w:bCs/>
                <w:color w:val="000000"/>
                <w:sz w:val="22"/>
                <w:szCs w:val="22"/>
                <w:lang w:bidi="ar"/>
              </w:rPr>
              <w:t>广</w:t>
            </w:r>
            <w:r>
              <w:rPr>
                <w:rFonts w:hint="eastAsia"/>
                <w:bCs/>
                <w:color w:val="000000"/>
                <w:sz w:val="22"/>
                <w:szCs w:val="22"/>
                <w:lang w:bidi="ar"/>
              </w:rPr>
              <w:t>西</w:t>
            </w:r>
            <w:r>
              <w:rPr>
                <w:bCs/>
                <w:color w:val="000000"/>
                <w:sz w:val="22"/>
                <w:szCs w:val="22"/>
                <w:lang w:bidi="ar"/>
              </w:rPr>
              <w:t>能源</w:t>
            </w:r>
            <w:r>
              <w:rPr>
                <w:rFonts w:hint="eastAsia"/>
                <w:bCs/>
                <w:color w:val="000000"/>
                <w:sz w:val="22"/>
                <w:szCs w:val="22"/>
                <w:lang w:bidi="ar"/>
              </w:rPr>
              <w:t>的最终控制人为广西投资集团有限公司（“</w:t>
            </w:r>
            <w:r>
              <w:rPr>
                <w:rFonts w:hint="eastAsia"/>
                <w:bCs/>
                <w:color w:val="000000"/>
                <w:sz w:val="22"/>
                <w:szCs w:val="22"/>
              </w:rPr>
              <w:t>广西投资集团</w:t>
            </w:r>
            <w:r>
              <w:rPr>
                <w:rFonts w:hint="eastAsia"/>
                <w:bCs/>
                <w:color w:val="000000"/>
                <w:sz w:val="22"/>
                <w:szCs w:val="22"/>
                <w:lang w:bidi="ar"/>
              </w:rPr>
              <w:t>”），主要业务为能源、铝业、贸易、矿业、金融业、盐业、医疗机构及医药制造业的投资及管理等。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940" w:type="dxa"/>
            <w:vMerge w:val="restart"/>
            <w:vAlign w:val="center"/>
          </w:tcPr>
          <w:p>
            <w:pPr>
              <w:pStyle w:val="7"/>
              <w:adjustRightInd w:val="0"/>
              <w:snapToGrid w:val="0"/>
              <w:spacing w:after="0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简易案件理由（可以单选，</w:t>
            </w:r>
          </w:p>
          <w:p>
            <w:pPr>
              <w:pStyle w:val="7"/>
              <w:adjustRightInd w:val="0"/>
              <w:snapToGrid w:val="0"/>
              <w:spacing w:after="0"/>
              <w:jc w:val="center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sz w:val="24"/>
              </w:rPr>
              <w:t>也可以多选）</w:t>
            </w:r>
          </w:p>
        </w:tc>
        <w:tc>
          <w:tcPr>
            <w:tcW w:w="7700" w:type="dxa"/>
            <w:gridSpan w:val="2"/>
            <w:vAlign w:val="center"/>
          </w:tcPr>
          <w:p>
            <w:pPr>
              <w:pStyle w:val="7"/>
              <w:adjustRightInd w:val="0"/>
              <w:snapToGrid w:val="0"/>
              <w:spacing w:after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sym w:font="Wingdings" w:char="00FE"/>
            </w:r>
            <w:r>
              <w:rPr>
                <w:bCs/>
                <w:color w:val="000000"/>
                <w:sz w:val="22"/>
                <w:szCs w:val="22"/>
              </w:rPr>
              <w:t xml:space="preserve"> 1、在同一相关市场，所有参与集中的经营者所占市场份额之和小于15%。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940" w:type="dxa"/>
            <w:vMerge w:val="continue"/>
            <w:vAlign w:val="center"/>
          </w:tcPr>
          <w:p>
            <w:pPr>
              <w:pStyle w:val="7"/>
              <w:adjustRightInd w:val="0"/>
              <w:snapToGrid w:val="0"/>
              <w:spacing w:after="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7700" w:type="dxa"/>
            <w:gridSpan w:val="2"/>
            <w:vAlign w:val="center"/>
          </w:tcPr>
          <w:p>
            <w:pPr>
              <w:pStyle w:val="7"/>
              <w:adjustRightInd w:val="0"/>
              <w:snapToGrid w:val="0"/>
              <w:spacing w:after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sym w:font="Wingdings" w:char="00A8"/>
            </w:r>
            <w:r>
              <w:rPr>
                <w:bCs/>
                <w:color w:val="000000"/>
                <w:sz w:val="22"/>
                <w:szCs w:val="22"/>
              </w:rPr>
              <w:t xml:space="preserve"> 2、存在上下游关系的参与集中的经营者，在上下游市场所占的市场份额均小于25%。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940" w:type="dxa"/>
            <w:vMerge w:val="continue"/>
            <w:vAlign w:val="center"/>
          </w:tcPr>
          <w:p>
            <w:pPr>
              <w:pStyle w:val="7"/>
              <w:adjustRightInd w:val="0"/>
              <w:snapToGrid w:val="0"/>
              <w:spacing w:after="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7700" w:type="dxa"/>
            <w:gridSpan w:val="2"/>
            <w:vAlign w:val="center"/>
          </w:tcPr>
          <w:p>
            <w:pPr>
              <w:pStyle w:val="7"/>
              <w:adjustRightInd w:val="0"/>
              <w:snapToGrid w:val="0"/>
              <w:spacing w:after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sym w:font="Wingdings" w:char="00A8"/>
            </w:r>
            <w:r>
              <w:rPr>
                <w:bCs/>
                <w:color w:val="000000"/>
                <w:sz w:val="22"/>
                <w:szCs w:val="22"/>
              </w:rPr>
              <w:t xml:space="preserve"> 3、不在同一相关市场、也不存在上下游关系的参与集中的经营者，在与交易有关的每个市场所占的份额均小于25%。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940" w:type="dxa"/>
            <w:vMerge w:val="continue"/>
            <w:vAlign w:val="center"/>
          </w:tcPr>
          <w:p>
            <w:pPr>
              <w:pStyle w:val="7"/>
              <w:adjustRightInd w:val="0"/>
              <w:snapToGrid w:val="0"/>
              <w:spacing w:after="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7700" w:type="dxa"/>
            <w:gridSpan w:val="2"/>
            <w:vAlign w:val="center"/>
          </w:tcPr>
          <w:p>
            <w:pPr>
              <w:pStyle w:val="7"/>
              <w:adjustRightInd w:val="0"/>
              <w:snapToGrid w:val="0"/>
              <w:spacing w:after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sym w:font="Wingdings" w:char="00A8"/>
            </w:r>
            <w:r>
              <w:rPr>
                <w:bCs/>
                <w:color w:val="000000"/>
                <w:sz w:val="22"/>
                <w:szCs w:val="22"/>
              </w:rPr>
              <w:t xml:space="preserve"> 4、参与集中的经营者在中国境外设立合营企业，合营企业不在中国境内从事经济活动。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940" w:type="dxa"/>
            <w:vMerge w:val="continue"/>
            <w:vAlign w:val="center"/>
          </w:tcPr>
          <w:p>
            <w:pPr>
              <w:pStyle w:val="7"/>
              <w:adjustRightInd w:val="0"/>
              <w:snapToGrid w:val="0"/>
              <w:spacing w:after="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7700" w:type="dxa"/>
            <w:gridSpan w:val="2"/>
            <w:vAlign w:val="center"/>
          </w:tcPr>
          <w:p>
            <w:pPr>
              <w:pStyle w:val="7"/>
              <w:adjustRightInd w:val="0"/>
              <w:snapToGrid w:val="0"/>
              <w:spacing w:after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sym w:font="Wingdings" w:char="00A8"/>
            </w:r>
            <w:r>
              <w:rPr>
                <w:bCs/>
                <w:color w:val="000000"/>
                <w:sz w:val="22"/>
                <w:szCs w:val="22"/>
              </w:rPr>
              <w:t xml:space="preserve"> 5、参与集中的经营者收购境外企业股权或资产的，该境外企业不在中国境内从事经济活动。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940" w:type="dxa"/>
            <w:vMerge w:val="continue"/>
            <w:vAlign w:val="center"/>
          </w:tcPr>
          <w:p>
            <w:pPr>
              <w:pStyle w:val="7"/>
              <w:adjustRightInd w:val="0"/>
              <w:snapToGrid w:val="0"/>
              <w:spacing w:after="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7700" w:type="dxa"/>
            <w:gridSpan w:val="2"/>
            <w:vAlign w:val="center"/>
          </w:tcPr>
          <w:p>
            <w:pPr>
              <w:pStyle w:val="7"/>
              <w:adjustRightInd w:val="0"/>
              <w:snapToGrid w:val="0"/>
              <w:spacing w:after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sym w:font="Wingdings" w:char="00A8"/>
            </w:r>
            <w:r>
              <w:rPr>
                <w:bCs/>
                <w:color w:val="000000"/>
                <w:sz w:val="22"/>
                <w:szCs w:val="22"/>
              </w:rPr>
              <w:t xml:space="preserve"> 6、由两个以上的经营者共同控制的合营企业，通过集中被其中一个或一个以上经营者控制。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9" w:hRule="atLeast"/>
          <w:jc w:val="center"/>
        </w:trPr>
        <w:tc>
          <w:tcPr>
            <w:tcW w:w="1940" w:type="dxa"/>
            <w:vAlign w:val="center"/>
          </w:tcPr>
          <w:p>
            <w:pPr>
              <w:pStyle w:val="7"/>
              <w:adjustRightInd w:val="0"/>
              <w:snapToGrid w:val="0"/>
              <w:spacing w:after="0"/>
              <w:jc w:val="center"/>
              <w:rPr>
                <w:b/>
                <w:color w:val="000000"/>
                <w:szCs w:val="21"/>
              </w:rPr>
            </w:pPr>
            <w:r>
              <w:rPr>
                <w:b/>
                <w:color w:val="000000"/>
                <w:sz w:val="24"/>
              </w:rPr>
              <w:t>备注</w:t>
            </w:r>
          </w:p>
        </w:tc>
        <w:tc>
          <w:tcPr>
            <w:tcW w:w="7700" w:type="dxa"/>
            <w:gridSpan w:val="2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color w:val="000000"/>
                <w:sz w:val="22"/>
                <w:szCs w:val="22"/>
              </w:rPr>
              <w:t>横向重叠：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textAlignment w:val="auto"/>
              <w:rPr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bCs/>
                <w:color w:val="000000"/>
                <w:sz w:val="22"/>
                <w:szCs w:val="22"/>
              </w:rPr>
              <w:t>2024年中国境内电力生产和供应市场：</w:t>
            </w:r>
            <w:bookmarkStart w:id="0" w:name="_GoBack"/>
            <w:bookmarkEnd w:id="0"/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firstLine="0" w:firstLineChars="0"/>
              <w:textAlignment w:val="auto"/>
              <w:rPr>
                <w:b/>
                <w:color w:val="000000"/>
                <w:sz w:val="22"/>
                <w:szCs w:val="22"/>
              </w:rPr>
            </w:pPr>
            <w:r>
              <w:rPr>
                <w:rFonts w:hint="eastAsia"/>
                <w:bCs/>
                <w:color w:val="000000"/>
                <w:sz w:val="22"/>
                <w:szCs w:val="22"/>
              </w:rPr>
              <w:t>国家电投集团：5%-10%，广西投资集团：0-5%，广西核电（预估）：0-5%，各方合计：5%-10%</w:t>
            </w:r>
          </w:p>
        </w:tc>
      </w:tr>
    </w:tbl>
    <w:p>
      <w:pPr>
        <w:rPr>
          <w:rFonts w:eastAsiaTheme="minorEastAsia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Simplified Arabic">
    <w:altName w:val="DejaVu Sans"/>
    <w:panose1 w:val="00000000000000000000"/>
    <w:charset w:val="B2"/>
    <w:family w:val="roman"/>
    <w:pitch w:val="default"/>
    <w:sig w:usb0="00000000" w:usb1="00000000" w:usb2="00000008" w:usb3="00000000" w:csb0="00000041" w:csb1="00000000"/>
  </w:font>
  <w:font w:name="Arial">
    <w:altName w:val="DejaVu Sans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0"/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t>2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WAAAAZHJzL1BLAQIUABQAAAAIAIdO4kCzSVju&#10;0AAAAAUBAAAPAAAAAAAAAAEAIAAAADgAAABkcnMvZG93bnJldi54bWxQSwECFAAUAAAACACHTuJA&#10;OOeXwRMCAAAZBAAADgAAAAAAAAABACAAAAA1AQAAZHJzL2Uyb0RvYy54bWxQSwUGAAAAAAYABgBZ&#10;AQAAu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Theme="minorEastAsia" w:hAnsiTheme="minorEastAsia" w:eastAsiaTheme="minorEastAsia" w:cstheme="minorEastAsia"/>
                        <w:sz w:val="24"/>
                        <w:szCs w:val="24"/>
                      </w:rPr>
                      <w:t>2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NmMTI0ODhhNzFmMGU3MTZhMTA0ODYxYzI1N2YwYjIifQ=="/>
  </w:docVars>
  <w:rsids>
    <w:rsidRoot w:val="511505E7"/>
    <w:rsid w:val="00042BDD"/>
    <w:rsid w:val="0007692D"/>
    <w:rsid w:val="00087338"/>
    <w:rsid w:val="000D105C"/>
    <w:rsid w:val="00114814"/>
    <w:rsid w:val="001A65EE"/>
    <w:rsid w:val="001A7283"/>
    <w:rsid w:val="001B50F2"/>
    <w:rsid w:val="001C6148"/>
    <w:rsid w:val="001F1C3C"/>
    <w:rsid w:val="0022179C"/>
    <w:rsid w:val="00221FCA"/>
    <w:rsid w:val="00241D91"/>
    <w:rsid w:val="00244DF9"/>
    <w:rsid w:val="002678E0"/>
    <w:rsid w:val="00284710"/>
    <w:rsid w:val="002F4FD4"/>
    <w:rsid w:val="00332EAC"/>
    <w:rsid w:val="00346B84"/>
    <w:rsid w:val="00367A54"/>
    <w:rsid w:val="004C4C54"/>
    <w:rsid w:val="00500F51"/>
    <w:rsid w:val="00504BEC"/>
    <w:rsid w:val="00507863"/>
    <w:rsid w:val="00553A62"/>
    <w:rsid w:val="00597EC2"/>
    <w:rsid w:val="005C4EFC"/>
    <w:rsid w:val="0062408E"/>
    <w:rsid w:val="00627CE6"/>
    <w:rsid w:val="00646E32"/>
    <w:rsid w:val="006A20C6"/>
    <w:rsid w:val="006C3B44"/>
    <w:rsid w:val="00707821"/>
    <w:rsid w:val="0072474D"/>
    <w:rsid w:val="00734F51"/>
    <w:rsid w:val="007D63FA"/>
    <w:rsid w:val="007F706B"/>
    <w:rsid w:val="00816711"/>
    <w:rsid w:val="00826195"/>
    <w:rsid w:val="008472A3"/>
    <w:rsid w:val="00876497"/>
    <w:rsid w:val="008C7E0E"/>
    <w:rsid w:val="009040AD"/>
    <w:rsid w:val="00911A97"/>
    <w:rsid w:val="00934D60"/>
    <w:rsid w:val="009F5192"/>
    <w:rsid w:val="00A73286"/>
    <w:rsid w:val="00B33085"/>
    <w:rsid w:val="00B45330"/>
    <w:rsid w:val="00B93533"/>
    <w:rsid w:val="00BC4863"/>
    <w:rsid w:val="00BD203D"/>
    <w:rsid w:val="00BD3FB4"/>
    <w:rsid w:val="00BE051D"/>
    <w:rsid w:val="00C02F3A"/>
    <w:rsid w:val="00C046B3"/>
    <w:rsid w:val="00C50159"/>
    <w:rsid w:val="00C9079D"/>
    <w:rsid w:val="00CC7412"/>
    <w:rsid w:val="00CF027B"/>
    <w:rsid w:val="00D03326"/>
    <w:rsid w:val="00D11F6E"/>
    <w:rsid w:val="00D14CED"/>
    <w:rsid w:val="00E40607"/>
    <w:rsid w:val="00E4263C"/>
    <w:rsid w:val="00E466FD"/>
    <w:rsid w:val="00E6070E"/>
    <w:rsid w:val="00F0320E"/>
    <w:rsid w:val="00F63099"/>
    <w:rsid w:val="00F7053E"/>
    <w:rsid w:val="00F90810"/>
    <w:rsid w:val="00FD5EA5"/>
    <w:rsid w:val="00FF42DD"/>
    <w:rsid w:val="011DF4EB"/>
    <w:rsid w:val="01B165CE"/>
    <w:rsid w:val="0217304F"/>
    <w:rsid w:val="02515359"/>
    <w:rsid w:val="030806B1"/>
    <w:rsid w:val="03490091"/>
    <w:rsid w:val="03D70EC9"/>
    <w:rsid w:val="04B425C4"/>
    <w:rsid w:val="04B85AFF"/>
    <w:rsid w:val="05AB50DB"/>
    <w:rsid w:val="06075F29"/>
    <w:rsid w:val="072729B8"/>
    <w:rsid w:val="07D6476B"/>
    <w:rsid w:val="087232C3"/>
    <w:rsid w:val="08D6542E"/>
    <w:rsid w:val="08ED34FD"/>
    <w:rsid w:val="093446A7"/>
    <w:rsid w:val="0AF22185"/>
    <w:rsid w:val="0B1835C3"/>
    <w:rsid w:val="0B63273E"/>
    <w:rsid w:val="0BD91CE7"/>
    <w:rsid w:val="0C6B60D7"/>
    <w:rsid w:val="0DE526A7"/>
    <w:rsid w:val="0E5C7E9D"/>
    <w:rsid w:val="0EEC791B"/>
    <w:rsid w:val="0F272A69"/>
    <w:rsid w:val="0FA436B7"/>
    <w:rsid w:val="0FBBC6D8"/>
    <w:rsid w:val="10C02711"/>
    <w:rsid w:val="12ED74AA"/>
    <w:rsid w:val="130B6D76"/>
    <w:rsid w:val="13236AF1"/>
    <w:rsid w:val="13D6674E"/>
    <w:rsid w:val="150C1E94"/>
    <w:rsid w:val="15D94F21"/>
    <w:rsid w:val="15E47716"/>
    <w:rsid w:val="1680064E"/>
    <w:rsid w:val="17436509"/>
    <w:rsid w:val="1AA11230"/>
    <w:rsid w:val="1B2D6269"/>
    <w:rsid w:val="1BF9394B"/>
    <w:rsid w:val="1BF9AB71"/>
    <w:rsid w:val="1C361957"/>
    <w:rsid w:val="1DA24124"/>
    <w:rsid w:val="1DFE30C6"/>
    <w:rsid w:val="1FC81833"/>
    <w:rsid w:val="20C2797E"/>
    <w:rsid w:val="215B059A"/>
    <w:rsid w:val="23B4C27E"/>
    <w:rsid w:val="24606B41"/>
    <w:rsid w:val="246736EB"/>
    <w:rsid w:val="24840815"/>
    <w:rsid w:val="25C17900"/>
    <w:rsid w:val="261144B9"/>
    <w:rsid w:val="27B435B3"/>
    <w:rsid w:val="27ED6C10"/>
    <w:rsid w:val="281C288D"/>
    <w:rsid w:val="2841078C"/>
    <w:rsid w:val="289A6D28"/>
    <w:rsid w:val="2B795B9C"/>
    <w:rsid w:val="2C0C7CCC"/>
    <w:rsid w:val="2CAC25FF"/>
    <w:rsid w:val="2DFF8C0F"/>
    <w:rsid w:val="2ECF569F"/>
    <w:rsid w:val="2F0902B7"/>
    <w:rsid w:val="3025112D"/>
    <w:rsid w:val="319E78FD"/>
    <w:rsid w:val="339B1A7D"/>
    <w:rsid w:val="34527864"/>
    <w:rsid w:val="356065C1"/>
    <w:rsid w:val="35741F7B"/>
    <w:rsid w:val="35927D49"/>
    <w:rsid w:val="35FF6E6A"/>
    <w:rsid w:val="36647739"/>
    <w:rsid w:val="36722108"/>
    <w:rsid w:val="37736187"/>
    <w:rsid w:val="37EC4B4C"/>
    <w:rsid w:val="3A7D25F4"/>
    <w:rsid w:val="3AB5F700"/>
    <w:rsid w:val="3B6C128B"/>
    <w:rsid w:val="3BF42FA2"/>
    <w:rsid w:val="3C1B3849"/>
    <w:rsid w:val="3DBE0E38"/>
    <w:rsid w:val="3DCF2C73"/>
    <w:rsid w:val="3E3B322A"/>
    <w:rsid w:val="3EB7365E"/>
    <w:rsid w:val="3EBE2D3F"/>
    <w:rsid w:val="3ED7D01C"/>
    <w:rsid w:val="3EE73D98"/>
    <w:rsid w:val="3FBD94D5"/>
    <w:rsid w:val="3FFEAEB3"/>
    <w:rsid w:val="3FFFF7A9"/>
    <w:rsid w:val="40D7777E"/>
    <w:rsid w:val="41D779C0"/>
    <w:rsid w:val="436E421B"/>
    <w:rsid w:val="43E353FE"/>
    <w:rsid w:val="45E92E66"/>
    <w:rsid w:val="46845245"/>
    <w:rsid w:val="46F216C3"/>
    <w:rsid w:val="48567BBA"/>
    <w:rsid w:val="48604985"/>
    <w:rsid w:val="48C332AF"/>
    <w:rsid w:val="49857111"/>
    <w:rsid w:val="498A72A0"/>
    <w:rsid w:val="4C824703"/>
    <w:rsid w:val="4CC01CF8"/>
    <w:rsid w:val="4CFD75DE"/>
    <w:rsid w:val="4D533669"/>
    <w:rsid w:val="4D611881"/>
    <w:rsid w:val="4DB67BAD"/>
    <w:rsid w:val="4DBF710D"/>
    <w:rsid w:val="4E585190"/>
    <w:rsid w:val="4E626EA5"/>
    <w:rsid w:val="4F7D0643"/>
    <w:rsid w:val="50CB3BDA"/>
    <w:rsid w:val="511505E7"/>
    <w:rsid w:val="5275657D"/>
    <w:rsid w:val="53701092"/>
    <w:rsid w:val="53DE53F7"/>
    <w:rsid w:val="549363D0"/>
    <w:rsid w:val="54D26C3D"/>
    <w:rsid w:val="54DD7AC9"/>
    <w:rsid w:val="55413F6A"/>
    <w:rsid w:val="558A3AEC"/>
    <w:rsid w:val="55FF4F39"/>
    <w:rsid w:val="563C0C84"/>
    <w:rsid w:val="567C47AD"/>
    <w:rsid w:val="568C7EFA"/>
    <w:rsid w:val="5721053D"/>
    <w:rsid w:val="5A320350"/>
    <w:rsid w:val="5A4E1134"/>
    <w:rsid w:val="5A8F5421"/>
    <w:rsid w:val="5AB377AC"/>
    <w:rsid w:val="5ADB7A9F"/>
    <w:rsid w:val="5BDF7AA8"/>
    <w:rsid w:val="5CC770F3"/>
    <w:rsid w:val="5DFF5221"/>
    <w:rsid w:val="5E606197"/>
    <w:rsid w:val="5E758AD3"/>
    <w:rsid w:val="5EEF39C2"/>
    <w:rsid w:val="5EFFEB53"/>
    <w:rsid w:val="5F5B3889"/>
    <w:rsid w:val="5F7404E1"/>
    <w:rsid w:val="60B85CFA"/>
    <w:rsid w:val="61AC7C2D"/>
    <w:rsid w:val="61F32521"/>
    <w:rsid w:val="63F6661D"/>
    <w:rsid w:val="64F94FB6"/>
    <w:rsid w:val="64FF0119"/>
    <w:rsid w:val="650C61D5"/>
    <w:rsid w:val="65183212"/>
    <w:rsid w:val="65AC0421"/>
    <w:rsid w:val="67090219"/>
    <w:rsid w:val="6754015D"/>
    <w:rsid w:val="67885F66"/>
    <w:rsid w:val="67D469E8"/>
    <w:rsid w:val="685D233B"/>
    <w:rsid w:val="69C0748D"/>
    <w:rsid w:val="69D3998A"/>
    <w:rsid w:val="6A7D30C3"/>
    <w:rsid w:val="6B9261CD"/>
    <w:rsid w:val="6B9A71CB"/>
    <w:rsid w:val="6BCB1BF4"/>
    <w:rsid w:val="6BCC0CB3"/>
    <w:rsid w:val="6C45316D"/>
    <w:rsid w:val="6CBF87B4"/>
    <w:rsid w:val="6DEFBAE0"/>
    <w:rsid w:val="6E372E5F"/>
    <w:rsid w:val="6E3FE820"/>
    <w:rsid w:val="6E786ABC"/>
    <w:rsid w:val="6EDEEF91"/>
    <w:rsid w:val="6F538C10"/>
    <w:rsid w:val="6FDF5799"/>
    <w:rsid w:val="6FF521CD"/>
    <w:rsid w:val="710A7485"/>
    <w:rsid w:val="71394751"/>
    <w:rsid w:val="72131803"/>
    <w:rsid w:val="723024E6"/>
    <w:rsid w:val="73026B48"/>
    <w:rsid w:val="73FEEB6C"/>
    <w:rsid w:val="74566BED"/>
    <w:rsid w:val="74CE550B"/>
    <w:rsid w:val="74EF617D"/>
    <w:rsid w:val="74FA9F2D"/>
    <w:rsid w:val="755F49C7"/>
    <w:rsid w:val="767FE0B3"/>
    <w:rsid w:val="76AFBFF1"/>
    <w:rsid w:val="76CA40F3"/>
    <w:rsid w:val="77527FDF"/>
    <w:rsid w:val="775B69D1"/>
    <w:rsid w:val="77997569"/>
    <w:rsid w:val="77AFF4F6"/>
    <w:rsid w:val="77DFE97C"/>
    <w:rsid w:val="77FF6A8C"/>
    <w:rsid w:val="77FFCFC3"/>
    <w:rsid w:val="78410251"/>
    <w:rsid w:val="793FB7A1"/>
    <w:rsid w:val="7A66B182"/>
    <w:rsid w:val="7A9C06E1"/>
    <w:rsid w:val="7AB91678"/>
    <w:rsid w:val="7B7BE66B"/>
    <w:rsid w:val="7B8F578C"/>
    <w:rsid w:val="7B9A66EF"/>
    <w:rsid w:val="7BB93BEB"/>
    <w:rsid w:val="7BE411F0"/>
    <w:rsid w:val="7BFFD823"/>
    <w:rsid w:val="7C7918BC"/>
    <w:rsid w:val="7EBFB5E2"/>
    <w:rsid w:val="7EE72273"/>
    <w:rsid w:val="7EF7CDD2"/>
    <w:rsid w:val="7F4F7889"/>
    <w:rsid w:val="7F5A4555"/>
    <w:rsid w:val="7F7BEB9D"/>
    <w:rsid w:val="7FBF2495"/>
    <w:rsid w:val="7FDCAB43"/>
    <w:rsid w:val="7FDDC930"/>
    <w:rsid w:val="7FE15510"/>
    <w:rsid w:val="7FE91E78"/>
    <w:rsid w:val="7FFDE69B"/>
    <w:rsid w:val="97A7370C"/>
    <w:rsid w:val="9CBD0B1A"/>
    <w:rsid w:val="A7F9C1DE"/>
    <w:rsid w:val="A9AD231D"/>
    <w:rsid w:val="ADFAC79E"/>
    <w:rsid w:val="AE7E1E17"/>
    <w:rsid w:val="AFA6DE92"/>
    <w:rsid w:val="B4FDF1E3"/>
    <w:rsid w:val="B593FB7D"/>
    <w:rsid w:val="B77D8EA8"/>
    <w:rsid w:val="B7AE5DA7"/>
    <w:rsid w:val="B9B92832"/>
    <w:rsid w:val="BCB7048F"/>
    <w:rsid w:val="BCBFDC51"/>
    <w:rsid w:val="BCF89F06"/>
    <w:rsid w:val="BEAF73DD"/>
    <w:rsid w:val="BF8E36EE"/>
    <w:rsid w:val="BF9347F3"/>
    <w:rsid w:val="BFDFB85E"/>
    <w:rsid w:val="BFF739EC"/>
    <w:rsid w:val="C3F5BA26"/>
    <w:rsid w:val="D5DB8D8A"/>
    <w:rsid w:val="D6CE13A9"/>
    <w:rsid w:val="D76F54F7"/>
    <w:rsid w:val="D99FCE0D"/>
    <w:rsid w:val="DDEFBA43"/>
    <w:rsid w:val="DEAFB90F"/>
    <w:rsid w:val="DF21B821"/>
    <w:rsid w:val="DFD76A11"/>
    <w:rsid w:val="E7FFE685"/>
    <w:rsid w:val="E9DEC553"/>
    <w:rsid w:val="E9F71F09"/>
    <w:rsid w:val="EAFD8D58"/>
    <w:rsid w:val="EB6C770B"/>
    <w:rsid w:val="EBCD181E"/>
    <w:rsid w:val="ECEF0F61"/>
    <w:rsid w:val="EDFBED62"/>
    <w:rsid w:val="EFFFDD70"/>
    <w:rsid w:val="F17F7A23"/>
    <w:rsid w:val="F1B778F1"/>
    <w:rsid w:val="F3BA9458"/>
    <w:rsid w:val="F3FF743F"/>
    <w:rsid w:val="F4FF55F7"/>
    <w:rsid w:val="F6FC8D40"/>
    <w:rsid w:val="F7EFF966"/>
    <w:rsid w:val="F7FD911C"/>
    <w:rsid w:val="F9DF2CA6"/>
    <w:rsid w:val="FB3326CC"/>
    <w:rsid w:val="FBCE4D19"/>
    <w:rsid w:val="FBDF4395"/>
    <w:rsid w:val="FBFE1D07"/>
    <w:rsid w:val="FD9F2DB5"/>
    <w:rsid w:val="FDBF10AA"/>
    <w:rsid w:val="FE5FA0A2"/>
    <w:rsid w:val="FEAEC70B"/>
    <w:rsid w:val="FF57FBD6"/>
    <w:rsid w:val="FF5F68C3"/>
    <w:rsid w:val="FF79F9CF"/>
    <w:rsid w:val="FFB70466"/>
    <w:rsid w:val="FFBC3961"/>
    <w:rsid w:val="FFBE6E5C"/>
    <w:rsid w:val="FFCF003E"/>
    <w:rsid w:val="FFD95A98"/>
    <w:rsid w:val="FFEE6CF6"/>
    <w:rsid w:val="FFFF3A53"/>
    <w:rsid w:val="FFFF9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4"/>
    <w:next w:val="1"/>
    <w:qFormat/>
    <w:uiPriority w:val="9"/>
    <w:pPr>
      <w:spacing w:after="156" w:afterLines="50" w:line="640" w:lineRule="exact"/>
      <w:outlineLvl w:val="0"/>
    </w:pPr>
    <w:rPr>
      <w:rFonts w:ascii="方正小标宋简体" w:eastAsia="方正小标宋简体"/>
      <w:sz w:val="44"/>
      <w:szCs w:val="36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99"/>
  </w:style>
  <w:style w:type="paragraph" w:customStyle="1" w:styleId="4">
    <w:name w:val="名称2"/>
    <w:basedOn w:val="5"/>
    <w:qFormat/>
    <w:uiPriority w:val="0"/>
    <w:pPr>
      <w:spacing w:after="312" w:afterLines="100"/>
    </w:pPr>
    <w:rPr>
      <w:b w:val="0"/>
      <w:sz w:val="20"/>
    </w:rPr>
  </w:style>
  <w:style w:type="paragraph" w:customStyle="1" w:styleId="5">
    <w:name w:val="名称"/>
    <w:basedOn w:val="1"/>
    <w:qFormat/>
    <w:uiPriority w:val="0"/>
    <w:pPr>
      <w:jc w:val="center"/>
    </w:pPr>
    <w:rPr>
      <w:b/>
      <w:kern w:val="0"/>
      <w:sz w:val="44"/>
      <w:szCs w:val="20"/>
    </w:rPr>
  </w:style>
  <w:style w:type="paragraph" w:styleId="6">
    <w:name w:val="annotation text"/>
    <w:basedOn w:val="1"/>
    <w:link w:val="27"/>
    <w:qFormat/>
    <w:uiPriority w:val="0"/>
    <w:pPr>
      <w:jc w:val="left"/>
    </w:pPr>
  </w:style>
  <w:style w:type="paragraph" w:styleId="7">
    <w:name w:val="Body Text"/>
    <w:basedOn w:val="1"/>
    <w:next w:val="8"/>
    <w:link w:val="21"/>
    <w:unhideWhenUsed/>
    <w:qFormat/>
    <w:uiPriority w:val="99"/>
    <w:pPr>
      <w:spacing w:after="120"/>
    </w:pPr>
  </w:style>
  <w:style w:type="paragraph" w:styleId="8">
    <w:name w:val="Body Text First Indent"/>
    <w:basedOn w:val="7"/>
    <w:qFormat/>
    <w:uiPriority w:val="0"/>
    <w:pPr>
      <w:ind w:firstLine="420" w:firstLineChars="100"/>
    </w:pPr>
  </w:style>
  <w:style w:type="paragraph" w:styleId="9">
    <w:name w:val="Balloon Text"/>
    <w:basedOn w:val="1"/>
    <w:link w:val="25"/>
    <w:qFormat/>
    <w:uiPriority w:val="0"/>
    <w:rPr>
      <w:sz w:val="18"/>
      <w:szCs w:val="18"/>
    </w:rPr>
  </w:style>
  <w:style w:type="paragraph" w:styleId="10">
    <w:name w:val="footer"/>
    <w:basedOn w:val="1"/>
    <w:link w:val="2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1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toc 2"/>
    <w:basedOn w:val="1"/>
    <w:next w:val="1"/>
    <w:qFormat/>
    <w:uiPriority w:val="0"/>
    <w:pPr>
      <w:ind w:left="420" w:leftChars="200"/>
    </w:pPr>
    <w:rPr>
      <w:sz w:val="30"/>
    </w:rPr>
  </w:style>
  <w:style w:type="paragraph" w:styleId="13">
    <w:name w:val="annotation subject"/>
    <w:basedOn w:val="6"/>
    <w:next w:val="6"/>
    <w:link w:val="28"/>
    <w:qFormat/>
    <w:uiPriority w:val="0"/>
    <w:rPr>
      <w:b/>
      <w:bCs/>
    </w:rPr>
  </w:style>
  <w:style w:type="table" w:styleId="15">
    <w:name w:val="Table Grid"/>
    <w:basedOn w:val="14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7">
    <w:name w:val="page number"/>
    <w:qFormat/>
    <w:uiPriority w:val="0"/>
    <w:rPr>
      <w:rFonts w:ascii="Times New Roman" w:hAnsi="Times New Roman" w:eastAsia="宋体" w:cs="Simplified Arabic"/>
      <w:sz w:val="24"/>
      <w:szCs w:val="24"/>
      <w:lang w:val="en-GB" w:bidi="ar-AE"/>
    </w:rPr>
  </w:style>
  <w:style w:type="character" w:styleId="18">
    <w:name w:val="annotation reference"/>
    <w:basedOn w:val="16"/>
    <w:qFormat/>
    <w:uiPriority w:val="0"/>
    <w:rPr>
      <w:sz w:val="21"/>
      <w:szCs w:val="21"/>
    </w:rPr>
  </w:style>
  <w:style w:type="character" w:customStyle="1" w:styleId="19">
    <w:name w:val="页眉 字符"/>
    <w:basedOn w:val="16"/>
    <w:link w:val="11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20">
    <w:name w:val="页脚 字符"/>
    <w:basedOn w:val="16"/>
    <w:link w:val="10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21">
    <w:name w:val="正文文本 字符"/>
    <w:basedOn w:val="16"/>
    <w:link w:val="7"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  <w:style w:type="paragraph" w:styleId="22">
    <w:name w:val="List Paragraph"/>
    <w:basedOn w:val="1"/>
    <w:qFormat/>
    <w:uiPriority w:val="99"/>
    <w:pPr>
      <w:ind w:firstLine="420" w:firstLineChars="200"/>
    </w:pPr>
  </w:style>
  <w:style w:type="paragraph" w:customStyle="1" w:styleId="23">
    <w:name w:val="Footer Right"/>
    <w:basedOn w:val="10"/>
    <w:qFormat/>
    <w:uiPriority w:val="0"/>
    <w:pPr>
      <w:jc w:val="right"/>
    </w:pPr>
  </w:style>
  <w:style w:type="paragraph" w:customStyle="1" w:styleId="24">
    <w:name w:val="KWMCN-标准"/>
    <w:qFormat/>
    <w:uiPriority w:val="0"/>
    <w:pPr>
      <w:adjustRightInd w:val="0"/>
      <w:snapToGrid w:val="0"/>
      <w:spacing w:after="360" w:line="320" w:lineRule="atLeast"/>
      <w:jc w:val="both"/>
    </w:pPr>
    <w:rPr>
      <w:rFonts w:ascii="Arial" w:hAnsi="Arial" w:eastAsia="楷体_GB2312" w:cstheme="minorBidi"/>
      <w:kern w:val="2"/>
      <w:sz w:val="24"/>
      <w:szCs w:val="21"/>
      <w:lang w:val="en-US" w:eastAsia="zh-CN" w:bidi="ar-SA"/>
    </w:rPr>
  </w:style>
  <w:style w:type="character" w:customStyle="1" w:styleId="25">
    <w:name w:val="批注框文本 字符"/>
    <w:basedOn w:val="16"/>
    <w:link w:val="9"/>
    <w:qFormat/>
    <w:uiPriority w:val="0"/>
    <w:rPr>
      <w:kern w:val="2"/>
      <w:sz w:val="18"/>
      <w:szCs w:val="18"/>
    </w:rPr>
  </w:style>
  <w:style w:type="paragraph" w:customStyle="1" w:styleId="26">
    <w:name w:val="修订1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7">
    <w:name w:val="批注文字 字符"/>
    <w:basedOn w:val="16"/>
    <w:link w:val="6"/>
    <w:qFormat/>
    <w:uiPriority w:val="0"/>
    <w:rPr>
      <w:kern w:val="2"/>
      <w:sz w:val="21"/>
      <w:szCs w:val="24"/>
    </w:rPr>
  </w:style>
  <w:style w:type="character" w:customStyle="1" w:styleId="28">
    <w:name w:val="批注主题 字符"/>
    <w:basedOn w:val="27"/>
    <w:link w:val="13"/>
    <w:qFormat/>
    <w:uiPriority w:val="0"/>
    <w:rPr>
      <w:b/>
      <w:bCs/>
      <w:kern w:val="2"/>
      <w:sz w:val="21"/>
      <w:szCs w:val="24"/>
    </w:rPr>
  </w:style>
  <w:style w:type="paragraph" w:customStyle="1" w:styleId="29">
    <w:name w:val="修订2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0">
    <w:name w:val="Revision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其他省直机关单位</Company>
  <Pages>1</Pages>
  <Words>452</Words>
  <Characters>476</Characters>
  <Lines>29</Lines>
  <Paragraphs>28</Paragraphs>
  <TotalTime>2</TotalTime>
  <ScaleCrop>false</ScaleCrop>
  <LinksUpToDate>false</LinksUpToDate>
  <CharactersWithSpaces>900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2026-01-15T12:43:00Z</dcterms:created>
  <dc:creator>张斌（反垄断处）</dc:creator>
  <cp:lastModifiedBy>scjgj</cp:lastModifiedBy>
  <cp:lastPrinted>2024-08-09T09:27:00Z</cp:lastPrinted>
  <dcterms:modified xsi:type="dcterms:W3CDTF">2026-01-15T17:25:58Z</dcterms:modified>
  <dc:title>关于经营者集中反垄断审查案件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F84C67645D0B91AF35BF4B694247F53B_43</vt:lpwstr>
  </property>
</Properties>
</file>