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2E26C6">
      <w:pPr>
        <w:widowControl/>
        <w:spacing w:after="240" w:line="594" w:lineRule="exact"/>
        <w:jc w:val="center"/>
        <w:rPr>
          <w:rFonts w:ascii="黑体" w:hAnsi="黑体" w:eastAsia="黑体" w:cs="黑体"/>
          <w:bCs/>
          <w:kern w:val="0"/>
          <w:sz w:val="36"/>
          <w:szCs w:val="36"/>
          <w:lang w:val="en-GB" w:bidi="ar-AE"/>
        </w:rPr>
      </w:pPr>
      <w:r>
        <w:rPr>
          <w:rFonts w:hint="eastAsia" w:ascii="黑体" w:hAnsi="黑体" w:eastAsia="黑体" w:cs="黑体"/>
          <w:bCs/>
          <w:kern w:val="0"/>
          <w:sz w:val="36"/>
          <w:szCs w:val="36"/>
          <w:lang w:val="en-GB" w:bidi="ar-AE"/>
        </w:rPr>
        <w:t>经营者集中简易案件公示表</w:t>
      </w:r>
    </w:p>
    <w:tbl>
      <w:tblPr>
        <w:tblStyle w:val="6"/>
        <w:tblW w:w="87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9"/>
        <w:gridCol w:w="1796"/>
        <w:gridCol w:w="5153"/>
      </w:tblGrid>
      <w:tr w14:paraId="7F176B42">
        <w:tc>
          <w:tcPr>
            <w:tcW w:w="1809" w:type="dxa"/>
            <w:shd w:val="clear" w:color="auto" w:fill="D9D9D9"/>
            <w:vAlign w:val="center"/>
          </w:tcPr>
          <w:p w14:paraId="769E52AF">
            <w:pPr>
              <w:keepNext w:val="0"/>
              <w:keepLines w:val="0"/>
              <w:pageBreakBefore w:val="0"/>
              <w:widowControl w:val="0"/>
              <w:kinsoku/>
              <w:wordWrap/>
              <w:overflowPunct/>
              <w:topLinePunct w:val="0"/>
              <w:autoSpaceDE/>
              <w:autoSpaceDN/>
              <w:bidi w:val="0"/>
              <w:adjustRightInd w:val="0"/>
              <w:snapToGrid w:val="0"/>
              <w:jc w:val="left"/>
              <w:textAlignment w:val="auto"/>
              <w:rPr>
                <w:rFonts w:ascii="宋体" w:hAnsi="宋体" w:cs="宋体"/>
                <w:kern w:val="0"/>
                <w:sz w:val="24"/>
                <w:szCs w:val="24"/>
              </w:rPr>
            </w:pPr>
            <w:r>
              <w:rPr>
                <w:rFonts w:hint="eastAsia" w:ascii="宋体" w:hAnsi="宋体" w:cs="宋体"/>
                <w:bCs/>
                <w:color w:val="000000" w:themeColor="text1"/>
                <w:sz w:val="24"/>
                <w:szCs w:val="24"/>
                <w14:textFill>
                  <w14:solidFill>
                    <w14:schemeClr w14:val="tx1"/>
                  </w14:solidFill>
                </w14:textFill>
              </w:rPr>
              <w:t>案件名称</w:t>
            </w:r>
          </w:p>
        </w:tc>
        <w:tc>
          <w:tcPr>
            <w:tcW w:w="6949" w:type="dxa"/>
            <w:gridSpan w:val="2"/>
            <w:vAlign w:val="center"/>
          </w:tcPr>
          <w:p w14:paraId="433428DE">
            <w:pPr>
              <w:keepNext w:val="0"/>
              <w:keepLines w:val="0"/>
              <w:pageBreakBefore w:val="0"/>
              <w:widowControl w:val="0"/>
              <w:kinsoku/>
              <w:wordWrap/>
              <w:overflowPunct/>
              <w:topLinePunct w:val="0"/>
              <w:autoSpaceDE/>
              <w:autoSpaceDN/>
              <w:bidi w:val="0"/>
              <w:adjustRightInd w:val="0"/>
              <w:snapToGrid w:val="0"/>
              <w:textAlignment w:val="auto"/>
              <w:rPr>
                <w:rFonts w:ascii="宋体" w:hAnsi="宋体" w:cs="宋体"/>
                <w:kern w:val="0"/>
                <w:sz w:val="24"/>
                <w:szCs w:val="24"/>
              </w:rPr>
            </w:pPr>
            <w:r>
              <w:rPr>
                <w:rFonts w:hint="eastAsia" w:ascii="宋体" w:hAnsi="宋体" w:cs="宋体"/>
                <w:kern w:val="0"/>
                <w:sz w:val="24"/>
                <w:szCs w:val="24"/>
                <w:lang w:val="en-US" w:eastAsia="zh-CN"/>
              </w:rPr>
              <w:t>中国石化销售股份有限公司与石家庄交通投资发展集团有限责任公司新设合营企业案</w:t>
            </w:r>
          </w:p>
        </w:tc>
      </w:tr>
      <w:tr w14:paraId="74CF5230">
        <w:trPr>
          <w:trHeight w:val="993" w:hRule="atLeast"/>
        </w:trPr>
        <w:tc>
          <w:tcPr>
            <w:tcW w:w="1809" w:type="dxa"/>
            <w:shd w:val="clear" w:color="auto" w:fill="D9D9D9"/>
            <w:vAlign w:val="center"/>
          </w:tcPr>
          <w:p w14:paraId="40FD691E">
            <w:pPr>
              <w:keepNext w:val="0"/>
              <w:keepLines w:val="0"/>
              <w:pageBreakBefore w:val="0"/>
              <w:widowControl w:val="0"/>
              <w:kinsoku/>
              <w:wordWrap/>
              <w:overflowPunct/>
              <w:topLinePunct w:val="0"/>
              <w:autoSpaceDE/>
              <w:autoSpaceDN/>
              <w:bidi w:val="0"/>
              <w:adjustRightInd w:val="0"/>
              <w:snapToGrid w:val="0"/>
              <w:jc w:val="left"/>
              <w:textAlignment w:val="auto"/>
              <w:rPr>
                <w:rFonts w:ascii="宋体" w:hAnsi="宋体" w:cs="宋体"/>
                <w:kern w:val="0"/>
                <w:sz w:val="24"/>
                <w:szCs w:val="24"/>
              </w:rPr>
            </w:pPr>
            <w:r>
              <w:rPr>
                <w:rFonts w:hint="eastAsia" w:ascii="宋体" w:hAnsi="宋体" w:cs="宋体"/>
                <w:bCs/>
                <w:color w:val="000000" w:themeColor="text1"/>
                <w:sz w:val="24"/>
                <w:szCs w:val="24"/>
                <w14:textFill>
                  <w14:solidFill>
                    <w14:schemeClr w14:val="tx1"/>
                  </w14:solidFill>
                </w14:textFill>
              </w:rPr>
              <w:t>交易概况（限200字内）</w:t>
            </w:r>
          </w:p>
        </w:tc>
        <w:tc>
          <w:tcPr>
            <w:tcW w:w="6949" w:type="dxa"/>
            <w:gridSpan w:val="2"/>
          </w:tcPr>
          <w:p w14:paraId="54B66862">
            <w:pPr>
              <w:keepNext w:val="0"/>
              <w:keepLines w:val="0"/>
              <w:pageBreakBefore w:val="0"/>
              <w:widowControl w:val="0"/>
              <w:kinsoku/>
              <w:wordWrap/>
              <w:overflowPunct/>
              <w:topLinePunct w:val="0"/>
              <w:autoSpaceDE/>
              <w:autoSpaceDN/>
              <w:bidi w:val="0"/>
              <w:adjustRightInd w:val="0"/>
              <w:snapToGrid w:val="0"/>
              <w:textAlignment w:val="auto"/>
              <w:rPr>
                <w:rFonts w:ascii="宋体" w:hAnsi="宋体" w:cs="宋体"/>
                <w:kern w:val="0"/>
                <w:sz w:val="24"/>
                <w:szCs w:val="24"/>
              </w:rPr>
            </w:pPr>
            <w:r>
              <w:rPr>
                <w:rFonts w:hint="eastAsia" w:ascii="宋体" w:hAnsi="宋体" w:cs="宋体"/>
                <w:kern w:val="0"/>
                <w:sz w:val="24"/>
                <w:szCs w:val="24"/>
                <w:lang w:val="en-US" w:eastAsia="zh-CN"/>
              </w:rPr>
              <w:t>中国石化销售股份有限公司（“中石化销售”）与石家庄交通投资发展集团有限责任公司（“石交投集团”）共同出资，设立合资公司“河北交石有限公司（暂定）”，拟开展综合加能站、石化易电服务站等业务。交易后，中石化销售公司持股占比51%，石交投集团持股比例49%，合营公司由中石化销售和石交投集团共同控制。</w:t>
            </w:r>
          </w:p>
        </w:tc>
      </w:tr>
      <w:tr w14:paraId="20E5F3AF">
        <w:trPr>
          <w:trHeight w:val="468" w:hRule="atLeast"/>
        </w:trPr>
        <w:tc>
          <w:tcPr>
            <w:tcW w:w="1809" w:type="dxa"/>
            <w:vMerge w:val="restart"/>
            <w:shd w:val="clear" w:color="auto" w:fill="D9D9D9"/>
            <w:vAlign w:val="center"/>
          </w:tcPr>
          <w:p w14:paraId="62CB0E80">
            <w:pPr>
              <w:keepNext w:val="0"/>
              <w:keepLines w:val="0"/>
              <w:pageBreakBefore w:val="0"/>
              <w:widowControl w:val="0"/>
              <w:kinsoku/>
              <w:wordWrap/>
              <w:overflowPunct/>
              <w:topLinePunct w:val="0"/>
              <w:autoSpaceDE/>
              <w:autoSpaceDN/>
              <w:bidi w:val="0"/>
              <w:adjustRightInd w:val="0"/>
              <w:snapToGrid w:val="0"/>
              <w:jc w:val="left"/>
              <w:textAlignment w:val="auto"/>
              <w:rPr>
                <w:rFonts w:ascii="宋体" w:hAnsi="宋体" w:cs="宋体"/>
                <w:kern w:val="0"/>
                <w:sz w:val="24"/>
                <w:szCs w:val="24"/>
              </w:rPr>
            </w:pPr>
            <w:r>
              <w:rPr>
                <w:rFonts w:hint="eastAsia" w:ascii="宋体" w:hAnsi="宋体" w:cs="宋体"/>
                <w:bCs/>
                <w:color w:val="000000" w:themeColor="text1"/>
                <w:sz w:val="24"/>
                <w:szCs w:val="24"/>
                <w14:textFill>
                  <w14:solidFill>
                    <w14:schemeClr w14:val="tx1"/>
                  </w14:solidFill>
                </w14:textFill>
              </w:rPr>
              <w:t>参与集中的经营者简介（</w:t>
            </w:r>
            <w:r>
              <w:rPr>
                <w:rFonts w:hint="eastAsia" w:ascii="宋体" w:hAnsi="宋体" w:cs="宋体"/>
                <w:bCs/>
                <w:color w:val="000000" w:themeColor="text1"/>
                <w:sz w:val="24"/>
                <w:szCs w:val="24"/>
                <w:highlight w:val="none"/>
                <w14:textFill>
                  <w14:solidFill>
                    <w14:schemeClr w14:val="tx1"/>
                  </w14:solidFill>
                </w14:textFill>
              </w:rPr>
              <w:t>每个限100字以内</w:t>
            </w:r>
            <w:r>
              <w:rPr>
                <w:rFonts w:hint="eastAsia" w:ascii="宋体" w:hAnsi="宋体" w:cs="宋体"/>
                <w:bCs/>
                <w:color w:val="000000" w:themeColor="text1"/>
                <w:sz w:val="24"/>
                <w:szCs w:val="24"/>
                <w14:textFill>
                  <w14:solidFill>
                    <w14:schemeClr w14:val="tx1"/>
                  </w14:solidFill>
                </w14:textFill>
              </w:rPr>
              <w:t>）</w:t>
            </w:r>
          </w:p>
        </w:tc>
        <w:tc>
          <w:tcPr>
            <w:tcW w:w="1796" w:type="dxa"/>
          </w:tcPr>
          <w:p w14:paraId="22F83CD6">
            <w:pPr>
              <w:keepNext w:val="0"/>
              <w:keepLines w:val="0"/>
              <w:pageBreakBefore w:val="0"/>
              <w:widowControl w:val="0"/>
              <w:kinsoku/>
              <w:wordWrap/>
              <w:overflowPunct/>
              <w:topLinePunct w:val="0"/>
              <w:autoSpaceDE/>
              <w:autoSpaceDN/>
              <w:bidi w:val="0"/>
              <w:adjustRightInd w:val="0"/>
              <w:snapToGrid w:val="0"/>
              <w:textAlignment w:val="auto"/>
              <w:rPr>
                <w:rFonts w:ascii="宋体" w:hAnsi="宋体" w:cs="宋体"/>
                <w:kern w:val="0"/>
                <w:sz w:val="24"/>
                <w:szCs w:val="24"/>
              </w:rPr>
            </w:pPr>
            <w:r>
              <w:rPr>
                <w:rFonts w:hint="eastAsia" w:ascii="宋体" w:hAnsi="宋体" w:cs="宋体"/>
                <w:kern w:val="0"/>
                <w:sz w:val="24"/>
                <w:szCs w:val="24"/>
              </w:rPr>
              <w:t>1.</w:t>
            </w:r>
            <w:r>
              <w:rPr>
                <w:rFonts w:hint="eastAsia" w:ascii="宋体" w:hAnsi="宋体" w:cs="宋体"/>
                <w:kern w:val="0"/>
                <w:sz w:val="24"/>
                <w:szCs w:val="24"/>
                <w:lang w:val="en-US" w:eastAsia="zh-CN"/>
              </w:rPr>
              <w:t>中石化销售</w:t>
            </w:r>
          </w:p>
        </w:tc>
        <w:tc>
          <w:tcPr>
            <w:tcW w:w="5153" w:type="dxa"/>
          </w:tcPr>
          <w:p w14:paraId="0FA925A3">
            <w:pPr>
              <w:keepNext w:val="0"/>
              <w:keepLines w:val="0"/>
              <w:pageBreakBefore w:val="0"/>
              <w:widowControl w:val="0"/>
              <w:kinsoku/>
              <w:wordWrap/>
              <w:overflowPunct/>
              <w:topLinePunct w:val="0"/>
              <w:autoSpaceDE/>
              <w:autoSpaceDN/>
              <w:bidi w:val="0"/>
              <w:adjustRightInd w:val="0"/>
              <w:snapToGrid w:val="0"/>
              <w:textAlignment w:val="auto"/>
              <w:rPr>
                <w:rFonts w:hint="eastAsia" w:ascii="宋体" w:hAnsi="宋体" w:cs="宋体"/>
                <w:kern w:val="0"/>
                <w:sz w:val="24"/>
                <w:szCs w:val="24"/>
              </w:rPr>
            </w:pPr>
            <w:r>
              <w:rPr>
                <w:rFonts w:hint="eastAsia" w:ascii="宋体" w:hAnsi="宋体" w:cs="宋体"/>
                <w:kern w:val="0"/>
                <w:sz w:val="24"/>
                <w:szCs w:val="24"/>
                <w:lang w:val="en-US" w:eastAsia="zh-CN"/>
              </w:rPr>
              <w:t>中石化销售</w:t>
            </w:r>
            <w:r>
              <w:rPr>
                <w:rFonts w:hint="eastAsia" w:ascii="宋体" w:hAnsi="宋体" w:cs="宋体"/>
                <w:kern w:val="0"/>
                <w:sz w:val="24"/>
                <w:szCs w:val="24"/>
              </w:rPr>
              <w:t>于</w:t>
            </w:r>
            <w:r>
              <w:rPr>
                <w:rFonts w:hint="eastAsia" w:ascii="宋体" w:hAnsi="宋体" w:cs="宋体"/>
                <w:kern w:val="0"/>
                <w:sz w:val="24"/>
                <w:szCs w:val="24"/>
                <w:lang w:val="en-US" w:eastAsia="zh-CN"/>
              </w:rPr>
              <w:t>2015</w:t>
            </w:r>
            <w:r>
              <w:rPr>
                <w:rFonts w:hint="eastAsia" w:ascii="宋体" w:hAnsi="宋体" w:cs="宋体"/>
                <w:kern w:val="0"/>
                <w:sz w:val="24"/>
                <w:szCs w:val="24"/>
              </w:rPr>
              <w:t>年</w:t>
            </w:r>
            <w:r>
              <w:rPr>
                <w:rFonts w:hint="eastAsia" w:ascii="宋体" w:hAnsi="宋体" w:cs="宋体"/>
                <w:kern w:val="0"/>
                <w:sz w:val="24"/>
                <w:szCs w:val="24"/>
                <w:lang w:val="en-US" w:eastAsia="zh-CN"/>
              </w:rPr>
              <w:t>3</w:t>
            </w:r>
            <w:r>
              <w:rPr>
                <w:rFonts w:hint="eastAsia" w:ascii="宋体" w:hAnsi="宋体" w:cs="宋体"/>
                <w:kern w:val="0"/>
                <w:sz w:val="24"/>
                <w:szCs w:val="24"/>
              </w:rPr>
              <w:t>月</w:t>
            </w:r>
            <w:r>
              <w:rPr>
                <w:rFonts w:hint="eastAsia" w:ascii="宋体" w:hAnsi="宋体" w:cs="宋体"/>
                <w:kern w:val="0"/>
                <w:sz w:val="24"/>
                <w:szCs w:val="24"/>
                <w:lang w:val="en-US" w:eastAsia="zh-CN"/>
              </w:rPr>
              <w:t>31</w:t>
            </w:r>
            <w:r>
              <w:rPr>
                <w:rFonts w:hint="eastAsia" w:ascii="宋体" w:hAnsi="宋体" w:cs="宋体"/>
                <w:kern w:val="0"/>
                <w:sz w:val="24"/>
                <w:szCs w:val="24"/>
              </w:rPr>
              <w:t>日成立于</w:t>
            </w:r>
            <w:r>
              <w:rPr>
                <w:rFonts w:hint="eastAsia" w:ascii="宋体" w:hAnsi="宋体" w:cs="宋体"/>
                <w:kern w:val="0"/>
                <w:sz w:val="24"/>
                <w:szCs w:val="24"/>
                <w:lang w:val="en-US" w:eastAsia="zh-CN"/>
              </w:rPr>
              <w:t>北京</w:t>
            </w:r>
            <w:r>
              <w:rPr>
                <w:rFonts w:hint="eastAsia" w:ascii="宋体" w:hAnsi="宋体" w:cs="宋体"/>
                <w:kern w:val="0"/>
                <w:sz w:val="24"/>
                <w:szCs w:val="24"/>
              </w:rPr>
              <w:t>市，主要业务为</w:t>
            </w:r>
            <w:r>
              <w:rPr>
                <w:rFonts w:hint="eastAsia" w:ascii="宋体" w:hAnsi="宋体" w:cs="宋体"/>
                <w:kern w:val="0"/>
                <w:sz w:val="24"/>
                <w:szCs w:val="24"/>
                <w:lang w:val="en-US" w:eastAsia="zh-CN"/>
              </w:rPr>
              <w:t>成品油、天然气等能源批发、零售业务</w:t>
            </w:r>
            <w:r>
              <w:rPr>
                <w:rFonts w:hint="eastAsia" w:ascii="宋体" w:hAnsi="宋体" w:cs="宋体"/>
                <w:kern w:val="0"/>
                <w:sz w:val="24"/>
                <w:szCs w:val="24"/>
              </w:rPr>
              <w:t>等。</w:t>
            </w:r>
          </w:p>
          <w:p w14:paraId="0A6376CD">
            <w:pPr>
              <w:keepNext w:val="0"/>
              <w:keepLines w:val="0"/>
              <w:pageBreakBefore w:val="0"/>
              <w:widowControl w:val="0"/>
              <w:kinsoku/>
              <w:wordWrap/>
              <w:overflowPunct/>
              <w:topLinePunct w:val="0"/>
              <w:autoSpaceDE/>
              <w:autoSpaceDN/>
              <w:bidi w:val="0"/>
              <w:adjustRightInd w:val="0"/>
              <w:snapToGrid w:val="0"/>
              <w:textAlignment w:val="auto"/>
              <w:rPr>
                <w:rFonts w:ascii="宋体" w:hAnsi="宋体" w:cs="宋体"/>
                <w:kern w:val="0"/>
                <w:sz w:val="24"/>
                <w:szCs w:val="24"/>
              </w:rPr>
            </w:pPr>
            <w:r>
              <w:rPr>
                <w:rFonts w:hint="eastAsia" w:ascii="宋体" w:hAnsi="宋体" w:cs="宋体"/>
                <w:kern w:val="0"/>
                <w:sz w:val="24"/>
                <w:szCs w:val="24"/>
                <w:lang w:val="en-US" w:eastAsia="zh-CN"/>
              </w:rPr>
              <w:t>中石化销售</w:t>
            </w:r>
            <w:r>
              <w:rPr>
                <w:rFonts w:hint="eastAsia" w:ascii="宋体" w:hAnsi="宋体" w:cs="宋体"/>
                <w:kern w:val="0"/>
                <w:sz w:val="24"/>
                <w:szCs w:val="24"/>
              </w:rPr>
              <w:t>最终控制人为</w:t>
            </w:r>
            <w:r>
              <w:rPr>
                <w:rFonts w:hint="eastAsia" w:ascii="宋体" w:hAnsi="宋体" w:cs="宋体"/>
                <w:kern w:val="0"/>
                <w:sz w:val="24"/>
                <w:szCs w:val="24"/>
                <w:lang w:val="en-US" w:eastAsia="zh-CN"/>
              </w:rPr>
              <w:t>国务院国资委</w:t>
            </w:r>
            <w:r>
              <w:rPr>
                <w:rFonts w:hint="eastAsia" w:ascii="宋体" w:hAnsi="宋体" w:cs="宋体"/>
                <w:kern w:val="0"/>
                <w:sz w:val="24"/>
                <w:szCs w:val="24"/>
              </w:rPr>
              <w:t>，根据国务院授权代表国家依法履行出资人职责，依法对</w:t>
            </w:r>
            <w:bookmarkStart w:id="0" w:name="_GoBack"/>
            <w:bookmarkEnd w:id="0"/>
            <w:r>
              <w:rPr>
                <w:rFonts w:hint="eastAsia" w:ascii="宋体" w:hAnsi="宋体" w:cs="宋体"/>
                <w:kern w:val="0"/>
                <w:sz w:val="24"/>
                <w:szCs w:val="24"/>
              </w:rPr>
              <w:t>国有资产进行监督管理。</w:t>
            </w:r>
          </w:p>
        </w:tc>
      </w:tr>
      <w:tr w14:paraId="49A9210E">
        <w:trPr>
          <w:trHeight w:val="404" w:hRule="atLeast"/>
        </w:trPr>
        <w:tc>
          <w:tcPr>
            <w:tcW w:w="1809" w:type="dxa"/>
            <w:vMerge w:val="continue"/>
            <w:shd w:val="clear" w:color="auto" w:fill="D9D9D9"/>
            <w:vAlign w:val="center"/>
          </w:tcPr>
          <w:p w14:paraId="6A373A2E">
            <w:pPr>
              <w:keepNext w:val="0"/>
              <w:keepLines w:val="0"/>
              <w:pageBreakBefore w:val="0"/>
              <w:widowControl w:val="0"/>
              <w:kinsoku/>
              <w:wordWrap/>
              <w:overflowPunct/>
              <w:topLinePunct w:val="0"/>
              <w:autoSpaceDE/>
              <w:autoSpaceDN/>
              <w:bidi w:val="0"/>
              <w:adjustRightInd w:val="0"/>
              <w:snapToGrid w:val="0"/>
              <w:jc w:val="center"/>
              <w:textAlignment w:val="auto"/>
              <w:rPr>
                <w:rFonts w:ascii="宋体" w:hAnsi="宋体" w:cs="宋体"/>
                <w:kern w:val="0"/>
                <w:sz w:val="24"/>
                <w:szCs w:val="24"/>
              </w:rPr>
            </w:pPr>
          </w:p>
        </w:tc>
        <w:tc>
          <w:tcPr>
            <w:tcW w:w="1796" w:type="dxa"/>
          </w:tcPr>
          <w:p w14:paraId="63BFDB30">
            <w:pPr>
              <w:keepNext w:val="0"/>
              <w:keepLines w:val="0"/>
              <w:pageBreakBefore w:val="0"/>
              <w:widowControl w:val="0"/>
              <w:kinsoku/>
              <w:wordWrap/>
              <w:overflowPunct/>
              <w:topLinePunct w:val="0"/>
              <w:autoSpaceDE/>
              <w:autoSpaceDN/>
              <w:bidi w:val="0"/>
              <w:adjustRightInd w:val="0"/>
              <w:snapToGrid w:val="0"/>
              <w:textAlignment w:val="auto"/>
              <w:rPr>
                <w:rFonts w:ascii="宋体" w:hAnsi="宋体" w:cs="宋体"/>
                <w:kern w:val="0"/>
                <w:sz w:val="24"/>
                <w:szCs w:val="24"/>
              </w:rPr>
            </w:pPr>
            <w:r>
              <w:rPr>
                <w:rFonts w:hint="eastAsia" w:ascii="宋体" w:hAnsi="宋体" w:cs="宋体"/>
                <w:kern w:val="0"/>
                <w:sz w:val="24"/>
                <w:szCs w:val="24"/>
              </w:rPr>
              <w:t>2.</w:t>
            </w:r>
            <w:r>
              <w:rPr>
                <w:rFonts w:hint="eastAsia" w:ascii="宋体" w:hAnsi="宋体" w:cs="宋体"/>
                <w:kern w:val="0"/>
                <w:sz w:val="24"/>
                <w:szCs w:val="24"/>
                <w:lang w:val="en-US" w:eastAsia="zh-CN"/>
              </w:rPr>
              <w:t>石交投集团</w:t>
            </w:r>
          </w:p>
        </w:tc>
        <w:tc>
          <w:tcPr>
            <w:tcW w:w="5153" w:type="dxa"/>
          </w:tcPr>
          <w:p w14:paraId="2B49B91D">
            <w:pPr>
              <w:keepNext w:val="0"/>
              <w:keepLines w:val="0"/>
              <w:pageBreakBefore w:val="0"/>
              <w:widowControl w:val="0"/>
              <w:kinsoku/>
              <w:wordWrap/>
              <w:overflowPunct/>
              <w:topLinePunct w:val="0"/>
              <w:autoSpaceDE/>
              <w:autoSpaceDN/>
              <w:bidi w:val="0"/>
              <w:adjustRightInd w:val="0"/>
              <w:snapToGrid w:val="0"/>
              <w:textAlignment w:val="auto"/>
              <w:rPr>
                <w:rFonts w:hint="eastAsia" w:ascii="宋体" w:hAnsi="宋体" w:cs="宋体"/>
                <w:kern w:val="0"/>
                <w:sz w:val="24"/>
                <w:szCs w:val="24"/>
              </w:rPr>
            </w:pPr>
            <w:r>
              <w:rPr>
                <w:rFonts w:hint="eastAsia" w:ascii="宋体" w:hAnsi="宋体" w:cs="宋体"/>
                <w:kern w:val="0"/>
                <w:sz w:val="24"/>
                <w:szCs w:val="24"/>
                <w:lang w:val="en-US" w:eastAsia="zh-CN"/>
              </w:rPr>
              <w:t>石交投集团</w:t>
            </w:r>
            <w:r>
              <w:rPr>
                <w:rFonts w:hint="eastAsia" w:ascii="宋体" w:hAnsi="宋体" w:cs="宋体"/>
                <w:kern w:val="0"/>
                <w:sz w:val="24"/>
                <w:szCs w:val="24"/>
              </w:rPr>
              <w:t>于</w:t>
            </w:r>
            <w:r>
              <w:rPr>
                <w:rFonts w:hint="eastAsia" w:ascii="宋体" w:hAnsi="宋体" w:cs="宋体"/>
                <w:kern w:val="0"/>
                <w:sz w:val="24"/>
                <w:szCs w:val="24"/>
                <w:lang w:val="en-US" w:eastAsia="zh-CN"/>
              </w:rPr>
              <w:t>2013</w:t>
            </w:r>
            <w:r>
              <w:rPr>
                <w:rFonts w:hint="eastAsia" w:ascii="宋体" w:hAnsi="宋体" w:cs="宋体"/>
                <w:kern w:val="0"/>
                <w:sz w:val="24"/>
                <w:szCs w:val="24"/>
              </w:rPr>
              <w:t>年</w:t>
            </w:r>
            <w:r>
              <w:rPr>
                <w:rFonts w:hint="eastAsia" w:ascii="宋体" w:hAnsi="宋体" w:cs="宋体"/>
                <w:kern w:val="0"/>
                <w:sz w:val="24"/>
                <w:szCs w:val="24"/>
                <w:lang w:val="en-US" w:eastAsia="zh-CN"/>
              </w:rPr>
              <w:t>7</w:t>
            </w:r>
            <w:r>
              <w:rPr>
                <w:rFonts w:hint="eastAsia" w:ascii="宋体" w:hAnsi="宋体" w:cs="宋体"/>
                <w:kern w:val="0"/>
                <w:sz w:val="24"/>
                <w:szCs w:val="24"/>
              </w:rPr>
              <w:t>月</w:t>
            </w:r>
            <w:r>
              <w:rPr>
                <w:rFonts w:hint="eastAsia" w:ascii="宋体" w:hAnsi="宋体" w:cs="宋体"/>
                <w:kern w:val="0"/>
                <w:sz w:val="24"/>
                <w:szCs w:val="24"/>
                <w:lang w:val="en-US" w:eastAsia="zh-CN"/>
              </w:rPr>
              <w:t>10</w:t>
            </w:r>
            <w:r>
              <w:rPr>
                <w:rFonts w:hint="eastAsia" w:ascii="宋体" w:hAnsi="宋体" w:cs="宋体"/>
                <w:kern w:val="0"/>
                <w:sz w:val="24"/>
                <w:szCs w:val="24"/>
              </w:rPr>
              <w:t>日成立于</w:t>
            </w:r>
            <w:r>
              <w:rPr>
                <w:rFonts w:hint="eastAsia" w:ascii="宋体" w:hAnsi="宋体" w:cs="宋体"/>
                <w:kern w:val="0"/>
                <w:sz w:val="24"/>
                <w:szCs w:val="24"/>
                <w:lang w:val="en-US" w:eastAsia="zh-CN"/>
              </w:rPr>
              <w:t>石家庄市</w:t>
            </w:r>
            <w:r>
              <w:rPr>
                <w:rFonts w:hint="eastAsia" w:ascii="宋体" w:hAnsi="宋体" w:cs="宋体"/>
                <w:kern w:val="0"/>
                <w:sz w:val="24"/>
                <w:szCs w:val="24"/>
              </w:rPr>
              <w:t>，主要业务为</w:t>
            </w:r>
            <w:r>
              <w:rPr>
                <w:rFonts w:hint="eastAsia" w:ascii="宋体" w:hAnsi="宋体" w:cs="宋体"/>
                <w:kern w:val="0"/>
                <w:sz w:val="24"/>
                <w:szCs w:val="24"/>
                <w:lang w:val="en-US" w:eastAsia="zh-CN"/>
              </w:rPr>
              <w:t>交通基础设施项目的投资、建设、运营管理、公交运营等</w:t>
            </w:r>
            <w:r>
              <w:rPr>
                <w:rFonts w:hint="eastAsia" w:ascii="宋体" w:hAnsi="宋体" w:cs="宋体"/>
                <w:kern w:val="0"/>
                <w:sz w:val="24"/>
                <w:szCs w:val="24"/>
              </w:rPr>
              <w:t>。</w:t>
            </w:r>
          </w:p>
          <w:p w14:paraId="5A7387C2">
            <w:pPr>
              <w:keepNext w:val="0"/>
              <w:keepLines w:val="0"/>
              <w:pageBreakBefore w:val="0"/>
              <w:widowControl w:val="0"/>
              <w:kinsoku/>
              <w:wordWrap/>
              <w:overflowPunct/>
              <w:topLinePunct w:val="0"/>
              <w:autoSpaceDE/>
              <w:autoSpaceDN/>
              <w:bidi w:val="0"/>
              <w:adjustRightInd w:val="0"/>
              <w:snapToGrid w:val="0"/>
              <w:textAlignment w:val="auto"/>
              <w:rPr>
                <w:rFonts w:ascii="宋体" w:hAnsi="宋体" w:cs="宋体"/>
                <w:kern w:val="0"/>
                <w:sz w:val="24"/>
                <w:szCs w:val="24"/>
              </w:rPr>
            </w:pPr>
            <w:r>
              <w:rPr>
                <w:rFonts w:hint="eastAsia" w:ascii="宋体" w:hAnsi="宋体" w:cs="宋体"/>
                <w:kern w:val="0"/>
                <w:sz w:val="24"/>
                <w:szCs w:val="24"/>
                <w:lang w:val="en-US" w:eastAsia="zh-CN"/>
              </w:rPr>
              <w:t>石交投集团</w:t>
            </w:r>
            <w:r>
              <w:rPr>
                <w:rFonts w:hint="eastAsia" w:ascii="宋体" w:hAnsi="宋体" w:cs="宋体"/>
                <w:kern w:val="0"/>
                <w:sz w:val="24"/>
                <w:szCs w:val="24"/>
              </w:rPr>
              <w:t>最终控制人为石家庄市</w:t>
            </w:r>
            <w:r>
              <w:rPr>
                <w:rFonts w:hint="eastAsia" w:ascii="宋体" w:hAnsi="宋体" w:cs="宋体"/>
                <w:kern w:val="0"/>
                <w:sz w:val="24"/>
                <w:szCs w:val="24"/>
                <w:lang w:val="en-US" w:eastAsia="zh-CN"/>
              </w:rPr>
              <w:t>国资委</w:t>
            </w:r>
            <w:r>
              <w:rPr>
                <w:rFonts w:hint="eastAsia" w:ascii="宋体" w:hAnsi="宋体" w:cs="宋体"/>
                <w:kern w:val="0"/>
                <w:sz w:val="24"/>
                <w:szCs w:val="24"/>
                <w:lang w:eastAsia="zh-CN"/>
              </w:rPr>
              <w:t>，</w:t>
            </w:r>
            <w:r>
              <w:rPr>
                <w:rFonts w:hint="eastAsia" w:ascii="宋体" w:hAnsi="宋体" w:cs="宋体"/>
                <w:kern w:val="0"/>
                <w:sz w:val="24"/>
                <w:szCs w:val="24"/>
                <w:lang w:val="en-US" w:eastAsia="zh-CN"/>
              </w:rPr>
              <w:t>根据市政府授权，</w:t>
            </w:r>
            <w:r>
              <w:rPr>
                <w:rFonts w:hint="eastAsia" w:ascii="宋体" w:hAnsi="宋体" w:cs="宋体"/>
                <w:kern w:val="0"/>
                <w:sz w:val="24"/>
                <w:szCs w:val="24"/>
              </w:rPr>
              <w:t>履行出资人职责，依法对国有资产进行</w:t>
            </w:r>
            <w:r>
              <w:rPr>
                <w:rFonts w:hint="eastAsia" w:ascii="宋体" w:hAnsi="宋体" w:cs="宋体"/>
                <w:kern w:val="0"/>
                <w:sz w:val="24"/>
                <w:szCs w:val="24"/>
                <w:lang w:val="en-US" w:eastAsia="zh-CN"/>
              </w:rPr>
              <w:t>监管</w:t>
            </w:r>
            <w:r>
              <w:rPr>
                <w:rFonts w:hint="eastAsia" w:ascii="宋体" w:hAnsi="宋体" w:cs="宋体"/>
                <w:kern w:val="0"/>
                <w:sz w:val="24"/>
                <w:szCs w:val="24"/>
              </w:rPr>
              <w:t>。</w:t>
            </w:r>
          </w:p>
        </w:tc>
      </w:tr>
      <w:tr w14:paraId="5BD0D830">
        <w:trPr>
          <w:trHeight w:val="279" w:hRule="atLeast"/>
        </w:trPr>
        <w:tc>
          <w:tcPr>
            <w:tcW w:w="1809" w:type="dxa"/>
            <w:vMerge w:val="restart"/>
            <w:shd w:val="clear" w:color="auto" w:fill="D9D9D9"/>
            <w:vAlign w:val="center"/>
          </w:tcPr>
          <w:p w14:paraId="5FBE9341">
            <w:pPr>
              <w:keepNext w:val="0"/>
              <w:keepLines w:val="0"/>
              <w:pageBreakBefore w:val="0"/>
              <w:widowControl w:val="0"/>
              <w:kinsoku/>
              <w:wordWrap/>
              <w:overflowPunct/>
              <w:topLinePunct w:val="0"/>
              <w:autoSpaceDE/>
              <w:autoSpaceDN/>
              <w:bidi w:val="0"/>
              <w:adjustRightInd w:val="0"/>
              <w:snapToGrid w:val="0"/>
              <w:jc w:val="left"/>
              <w:textAlignment w:val="auto"/>
              <w:rPr>
                <w:rFonts w:ascii="宋体" w:hAnsi="宋体" w:cs="宋体"/>
                <w:kern w:val="0"/>
                <w:sz w:val="24"/>
                <w:szCs w:val="24"/>
              </w:rPr>
            </w:pPr>
            <w:r>
              <w:rPr>
                <w:rFonts w:hint="eastAsia" w:ascii="宋体" w:hAnsi="宋体" w:cs="宋体"/>
                <w:bCs/>
                <w:color w:val="000000" w:themeColor="text1"/>
                <w:sz w:val="24"/>
                <w:szCs w:val="24"/>
                <w14:textFill>
                  <w14:solidFill>
                    <w14:schemeClr w14:val="tx1"/>
                  </w14:solidFill>
                </w14:textFill>
              </w:rPr>
              <w:t>简易案件理由（可以单选，也可以多选）</w:t>
            </w:r>
          </w:p>
        </w:tc>
        <w:tc>
          <w:tcPr>
            <w:tcW w:w="6949" w:type="dxa"/>
            <w:gridSpan w:val="2"/>
          </w:tcPr>
          <w:p w14:paraId="2D2411EF">
            <w:pPr>
              <w:keepNext w:val="0"/>
              <w:keepLines w:val="0"/>
              <w:pageBreakBefore w:val="0"/>
              <w:widowControl w:val="0"/>
              <w:kinsoku/>
              <w:wordWrap/>
              <w:overflowPunct/>
              <w:topLinePunct w:val="0"/>
              <w:autoSpaceDE/>
              <w:autoSpaceDN/>
              <w:bidi w:val="0"/>
              <w:adjustRightInd w:val="0"/>
              <w:snapToGrid w:val="0"/>
              <w:textAlignment w:val="auto"/>
              <w:rPr>
                <w:rFonts w:ascii="宋体" w:hAnsi="宋体" w:cs="宋体"/>
                <w:kern w:val="0"/>
                <w:sz w:val="24"/>
                <w:szCs w:val="24"/>
              </w:rPr>
            </w:pPr>
            <w:r>
              <w:rPr>
                <w:rFonts w:hint="eastAsia" w:ascii="宋体" w:hAnsi="宋体" w:cs="宋体"/>
                <w:kern w:val="0"/>
                <w:sz w:val="24"/>
                <w:szCs w:val="24"/>
              </w:rPr>
              <w:t>□1.在同一相关市场，参与集中的经营者所占的市场份额之和小于 15%。</w:t>
            </w:r>
          </w:p>
        </w:tc>
      </w:tr>
      <w:tr w14:paraId="19F27358">
        <w:trPr>
          <w:trHeight w:val="330" w:hRule="atLeast"/>
        </w:trPr>
        <w:tc>
          <w:tcPr>
            <w:tcW w:w="1809" w:type="dxa"/>
            <w:vMerge w:val="continue"/>
            <w:shd w:val="clear" w:color="auto" w:fill="D9D9D9"/>
            <w:vAlign w:val="center"/>
          </w:tcPr>
          <w:p w14:paraId="76028585">
            <w:pPr>
              <w:keepNext w:val="0"/>
              <w:keepLines w:val="0"/>
              <w:pageBreakBefore w:val="0"/>
              <w:widowControl w:val="0"/>
              <w:kinsoku/>
              <w:wordWrap/>
              <w:overflowPunct/>
              <w:topLinePunct w:val="0"/>
              <w:autoSpaceDE/>
              <w:autoSpaceDN/>
              <w:bidi w:val="0"/>
              <w:adjustRightInd w:val="0"/>
              <w:snapToGrid w:val="0"/>
              <w:jc w:val="center"/>
              <w:textAlignment w:val="auto"/>
              <w:rPr>
                <w:rFonts w:ascii="宋体" w:hAnsi="宋体" w:cs="宋体"/>
                <w:kern w:val="0"/>
                <w:sz w:val="24"/>
                <w:szCs w:val="24"/>
              </w:rPr>
            </w:pPr>
          </w:p>
        </w:tc>
        <w:tc>
          <w:tcPr>
            <w:tcW w:w="6949" w:type="dxa"/>
            <w:gridSpan w:val="2"/>
          </w:tcPr>
          <w:p w14:paraId="59C94895">
            <w:pPr>
              <w:keepNext w:val="0"/>
              <w:keepLines w:val="0"/>
              <w:pageBreakBefore w:val="0"/>
              <w:widowControl w:val="0"/>
              <w:kinsoku/>
              <w:wordWrap/>
              <w:overflowPunct/>
              <w:topLinePunct w:val="0"/>
              <w:autoSpaceDE/>
              <w:autoSpaceDN/>
              <w:bidi w:val="0"/>
              <w:adjustRightInd w:val="0"/>
              <w:snapToGrid w:val="0"/>
              <w:textAlignment w:val="auto"/>
              <w:rPr>
                <w:rFonts w:ascii="宋体" w:hAnsi="宋体" w:cs="宋体"/>
                <w:kern w:val="0"/>
                <w:sz w:val="24"/>
                <w:szCs w:val="24"/>
              </w:rPr>
            </w:pPr>
            <w:r>
              <w:rPr>
                <w:rFonts w:hint="eastAsia" w:ascii="宋体" w:hAnsi="宋体"/>
                <w:sz w:val="24"/>
                <w:szCs w:val="24"/>
              </w:rPr>
              <w:sym w:font="Wingdings" w:char="00A8"/>
            </w:r>
            <w:r>
              <w:rPr>
                <w:rFonts w:hint="eastAsia" w:ascii="宋体" w:hAnsi="宋体" w:cs="宋体"/>
                <w:kern w:val="0"/>
                <w:sz w:val="24"/>
                <w:szCs w:val="24"/>
              </w:rPr>
              <w:t>2.</w:t>
            </w:r>
            <w:r>
              <w:rPr>
                <w:spacing w:val="-4"/>
                <w:w w:val="105"/>
                <w:sz w:val="24"/>
              </w:rPr>
              <w:t xml:space="preserve">在上下游市场，参与集中的经营者所占的市场份额均小于 </w:t>
            </w:r>
            <w:r>
              <w:rPr>
                <w:rFonts w:hint="eastAsia" w:ascii="宋体" w:hAnsi="宋体" w:cs="宋体"/>
                <w:bCs/>
                <w:color w:val="000000"/>
                <w:w w:val="100"/>
                <w:kern w:val="0"/>
                <w:sz w:val="24"/>
                <w:szCs w:val="24"/>
                <w:lang w:bidi="ar-AE"/>
              </w:rPr>
              <w:t>25%。</w:t>
            </w:r>
          </w:p>
        </w:tc>
      </w:tr>
      <w:tr w14:paraId="335578EE">
        <w:trPr>
          <w:trHeight w:val="285" w:hRule="atLeast"/>
        </w:trPr>
        <w:tc>
          <w:tcPr>
            <w:tcW w:w="1809" w:type="dxa"/>
            <w:vMerge w:val="continue"/>
            <w:shd w:val="clear" w:color="auto" w:fill="D9D9D9"/>
            <w:vAlign w:val="center"/>
          </w:tcPr>
          <w:p w14:paraId="053FAA13">
            <w:pPr>
              <w:keepNext w:val="0"/>
              <w:keepLines w:val="0"/>
              <w:pageBreakBefore w:val="0"/>
              <w:widowControl w:val="0"/>
              <w:kinsoku/>
              <w:wordWrap/>
              <w:overflowPunct/>
              <w:topLinePunct w:val="0"/>
              <w:autoSpaceDE/>
              <w:autoSpaceDN/>
              <w:bidi w:val="0"/>
              <w:adjustRightInd w:val="0"/>
              <w:snapToGrid w:val="0"/>
              <w:jc w:val="center"/>
              <w:textAlignment w:val="auto"/>
              <w:rPr>
                <w:rFonts w:ascii="宋体" w:hAnsi="宋体" w:cs="宋体"/>
                <w:kern w:val="0"/>
                <w:sz w:val="24"/>
                <w:szCs w:val="24"/>
              </w:rPr>
            </w:pPr>
          </w:p>
        </w:tc>
        <w:tc>
          <w:tcPr>
            <w:tcW w:w="6949" w:type="dxa"/>
            <w:gridSpan w:val="2"/>
          </w:tcPr>
          <w:p w14:paraId="766C49BB">
            <w:pPr>
              <w:keepNext w:val="0"/>
              <w:keepLines w:val="0"/>
              <w:pageBreakBefore w:val="0"/>
              <w:widowControl w:val="0"/>
              <w:kinsoku/>
              <w:wordWrap/>
              <w:overflowPunct/>
              <w:topLinePunct w:val="0"/>
              <w:autoSpaceDE/>
              <w:autoSpaceDN/>
              <w:bidi w:val="0"/>
              <w:adjustRightInd w:val="0"/>
              <w:snapToGrid w:val="0"/>
              <w:textAlignment w:val="auto"/>
              <w:rPr>
                <w:rFonts w:ascii="宋体" w:hAnsi="宋体" w:cs="宋体"/>
                <w:kern w:val="0"/>
                <w:sz w:val="24"/>
                <w:szCs w:val="24"/>
              </w:rPr>
            </w:pPr>
            <w:r>
              <w:rPr>
                <w:rFonts w:hint="eastAsia" w:ascii="宋体" w:hAnsi="宋体" w:eastAsia="宋体" w:cs="宋体"/>
                <w:b w:val="0"/>
                <w:bCs/>
                <w:color w:val="000000"/>
                <w:kern w:val="0"/>
                <w:sz w:val="24"/>
                <w:szCs w:val="24"/>
                <w:lang w:val="en-GB" w:eastAsia="zh-CN" w:bidi="ar-AE"/>
              </w:rPr>
              <w:sym w:font="Wingdings" w:char="00FE"/>
            </w:r>
            <w:r>
              <w:rPr>
                <w:rFonts w:hint="eastAsia" w:ascii="宋体" w:hAnsi="宋体" w:eastAsia="宋体" w:cs="宋体"/>
                <w:b w:val="0"/>
                <w:bCs/>
                <w:color w:val="000000"/>
                <w:kern w:val="0"/>
                <w:sz w:val="24"/>
                <w:szCs w:val="24"/>
                <w:lang w:val="en-GB" w:eastAsia="zh-CN" w:bidi="ar-AE"/>
              </w:rPr>
              <w:t xml:space="preserve"> 3</w:t>
            </w:r>
            <w:r>
              <w:rPr>
                <w:rFonts w:hint="eastAsia" w:ascii="宋体" w:hAnsi="宋体" w:eastAsia="宋体" w:cs="宋体"/>
                <w:b w:val="0"/>
                <w:bCs/>
                <w:color w:val="000000"/>
                <w:kern w:val="0"/>
                <w:sz w:val="24"/>
                <w:szCs w:val="24"/>
                <w:lang w:val="en-US" w:eastAsia="zh-CN" w:bidi="ar-AE"/>
              </w:rPr>
              <w:t>.不在同一相关市场也不存在上下游关系的参与集中的经营者，在与交易有关的每个市场所占的市场份额均小于 25%。</w:t>
            </w:r>
          </w:p>
        </w:tc>
      </w:tr>
      <w:tr w14:paraId="5BF52A29">
        <w:trPr>
          <w:trHeight w:val="660" w:hRule="atLeast"/>
        </w:trPr>
        <w:tc>
          <w:tcPr>
            <w:tcW w:w="1809" w:type="dxa"/>
            <w:vMerge w:val="continue"/>
            <w:shd w:val="clear" w:color="auto" w:fill="D9D9D9"/>
            <w:vAlign w:val="center"/>
          </w:tcPr>
          <w:p w14:paraId="710D0ECF">
            <w:pPr>
              <w:keepNext w:val="0"/>
              <w:keepLines w:val="0"/>
              <w:pageBreakBefore w:val="0"/>
              <w:widowControl w:val="0"/>
              <w:kinsoku/>
              <w:wordWrap/>
              <w:overflowPunct/>
              <w:topLinePunct w:val="0"/>
              <w:autoSpaceDE/>
              <w:autoSpaceDN/>
              <w:bidi w:val="0"/>
              <w:adjustRightInd w:val="0"/>
              <w:snapToGrid w:val="0"/>
              <w:jc w:val="center"/>
              <w:textAlignment w:val="auto"/>
              <w:rPr>
                <w:rFonts w:ascii="宋体" w:hAnsi="宋体" w:cs="宋体"/>
                <w:kern w:val="0"/>
                <w:sz w:val="24"/>
                <w:szCs w:val="24"/>
              </w:rPr>
            </w:pPr>
          </w:p>
        </w:tc>
        <w:tc>
          <w:tcPr>
            <w:tcW w:w="6949" w:type="dxa"/>
            <w:gridSpan w:val="2"/>
          </w:tcPr>
          <w:p w14:paraId="1CFE1EED">
            <w:pPr>
              <w:keepNext w:val="0"/>
              <w:keepLines w:val="0"/>
              <w:pageBreakBefore w:val="0"/>
              <w:widowControl w:val="0"/>
              <w:kinsoku/>
              <w:wordWrap/>
              <w:overflowPunct/>
              <w:topLinePunct w:val="0"/>
              <w:autoSpaceDE/>
              <w:autoSpaceDN/>
              <w:bidi w:val="0"/>
              <w:adjustRightInd w:val="0"/>
              <w:snapToGrid w:val="0"/>
              <w:textAlignment w:val="auto"/>
              <w:rPr>
                <w:rFonts w:ascii="宋体" w:hAnsi="宋体" w:cs="宋体"/>
                <w:kern w:val="0"/>
                <w:sz w:val="24"/>
                <w:szCs w:val="24"/>
              </w:rPr>
            </w:pPr>
            <w:r>
              <w:rPr>
                <w:rFonts w:hint="eastAsia" w:ascii="宋体" w:hAnsi="宋体" w:cs="宋体"/>
                <w:kern w:val="0"/>
                <w:sz w:val="24"/>
                <w:szCs w:val="24"/>
              </w:rPr>
              <w:t>□4.参与集中的经营者在中国境外设立合营企业，合营企业不在中国境内从事经济活动。</w:t>
            </w:r>
          </w:p>
        </w:tc>
      </w:tr>
      <w:tr w14:paraId="0F4F498A">
        <w:trPr>
          <w:trHeight w:val="264" w:hRule="atLeast"/>
        </w:trPr>
        <w:tc>
          <w:tcPr>
            <w:tcW w:w="1809" w:type="dxa"/>
            <w:vMerge w:val="continue"/>
            <w:shd w:val="clear" w:color="auto" w:fill="D9D9D9"/>
            <w:vAlign w:val="center"/>
          </w:tcPr>
          <w:p w14:paraId="675F4C58">
            <w:pPr>
              <w:keepNext w:val="0"/>
              <w:keepLines w:val="0"/>
              <w:pageBreakBefore w:val="0"/>
              <w:widowControl w:val="0"/>
              <w:kinsoku/>
              <w:wordWrap/>
              <w:overflowPunct/>
              <w:topLinePunct w:val="0"/>
              <w:autoSpaceDE/>
              <w:autoSpaceDN/>
              <w:bidi w:val="0"/>
              <w:adjustRightInd w:val="0"/>
              <w:snapToGrid w:val="0"/>
              <w:jc w:val="center"/>
              <w:textAlignment w:val="auto"/>
              <w:rPr>
                <w:rFonts w:ascii="宋体" w:hAnsi="宋体" w:cs="宋体"/>
                <w:kern w:val="0"/>
                <w:sz w:val="24"/>
                <w:szCs w:val="24"/>
              </w:rPr>
            </w:pPr>
          </w:p>
        </w:tc>
        <w:tc>
          <w:tcPr>
            <w:tcW w:w="6949" w:type="dxa"/>
            <w:gridSpan w:val="2"/>
          </w:tcPr>
          <w:p w14:paraId="4E00C9EC">
            <w:pPr>
              <w:keepNext w:val="0"/>
              <w:keepLines w:val="0"/>
              <w:pageBreakBefore w:val="0"/>
              <w:widowControl w:val="0"/>
              <w:kinsoku/>
              <w:wordWrap/>
              <w:overflowPunct/>
              <w:topLinePunct w:val="0"/>
              <w:autoSpaceDE/>
              <w:autoSpaceDN/>
              <w:bidi w:val="0"/>
              <w:adjustRightInd w:val="0"/>
              <w:snapToGrid w:val="0"/>
              <w:textAlignment w:val="auto"/>
              <w:rPr>
                <w:rFonts w:ascii="宋体" w:hAnsi="宋体" w:cs="宋体"/>
                <w:kern w:val="0"/>
                <w:sz w:val="24"/>
                <w:szCs w:val="24"/>
              </w:rPr>
            </w:pPr>
            <w:r>
              <w:rPr>
                <w:rFonts w:hint="eastAsia" w:ascii="宋体" w:hAnsi="宋体" w:cs="宋体"/>
                <w:kern w:val="0"/>
                <w:sz w:val="24"/>
                <w:szCs w:val="24"/>
              </w:rPr>
              <w:t>□5.参与集中的经营者收购境外企业股权或资产的，该境外企业不在中国境内从事经济活动。</w:t>
            </w:r>
          </w:p>
        </w:tc>
      </w:tr>
      <w:tr w14:paraId="15C775B4">
        <w:trPr>
          <w:trHeight w:val="345" w:hRule="atLeast"/>
        </w:trPr>
        <w:tc>
          <w:tcPr>
            <w:tcW w:w="1809" w:type="dxa"/>
            <w:vMerge w:val="continue"/>
            <w:shd w:val="clear" w:color="auto" w:fill="D9D9D9"/>
            <w:vAlign w:val="center"/>
          </w:tcPr>
          <w:p w14:paraId="6FC4EEB3">
            <w:pPr>
              <w:keepNext w:val="0"/>
              <w:keepLines w:val="0"/>
              <w:pageBreakBefore w:val="0"/>
              <w:widowControl w:val="0"/>
              <w:kinsoku/>
              <w:wordWrap/>
              <w:overflowPunct/>
              <w:topLinePunct w:val="0"/>
              <w:autoSpaceDE/>
              <w:autoSpaceDN/>
              <w:bidi w:val="0"/>
              <w:adjustRightInd w:val="0"/>
              <w:snapToGrid w:val="0"/>
              <w:jc w:val="center"/>
              <w:textAlignment w:val="auto"/>
              <w:rPr>
                <w:rFonts w:ascii="宋体" w:hAnsi="宋体" w:cs="宋体"/>
                <w:kern w:val="0"/>
                <w:sz w:val="24"/>
                <w:szCs w:val="24"/>
              </w:rPr>
            </w:pPr>
          </w:p>
        </w:tc>
        <w:tc>
          <w:tcPr>
            <w:tcW w:w="6949" w:type="dxa"/>
            <w:gridSpan w:val="2"/>
          </w:tcPr>
          <w:p w14:paraId="71063260">
            <w:pPr>
              <w:keepNext w:val="0"/>
              <w:keepLines w:val="0"/>
              <w:pageBreakBefore w:val="0"/>
              <w:widowControl w:val="0"/>
              <w:kinsoku/>
              <w:wordWrap/>
              <w:overflowPunct/>
              <w:topLinePunct w:val="0"/>
              <w:autoSpaceDE/>
              <w:autoSpaceDN/>
              <w:bidi w:val="0"/>
              <w:adjustRightInd w:val="0"/>
              <w:snapToGrid w:val="0"/>
              <w:textAlignment w:val="auto"/>
              <w:rPr>
                <w:rFonts w:ascii="宋体" w:hAnsi="宋体" w:cs="宋体"/>
                <w:kern w:val="0"/>
                <w:sz w:val="24"/>
                <w:szCs w:val="24"/>
              </w:rPr>
            </w:pPr>
            <w:r>
              <w:rPr>
                <w:rFonts w:hint="eastAsia" w:ascii="宋体" w:hAnsi="宋体" w:cs="宋体"/>
                <w:kern w:val="0"/>
                <w:sz w:val="24"/>
                <w:szCs w:val="24"/>
              </w:rPr>
              <w:t>□6.由两个以上的经营者共同控制的合营企业，通过集中被其中一个或一个以上经营者控制。</w:t>
            </w:r>
          </w:p>
        </w:tc>
      </w:tr>
      <w:tr w14:paraId="4A0B479E">
        <w:tc>
          <w:tcPr>
            <w:tcW w:w="1809" w:type="dxa"/>
            <w:shd w:val="clear" w:color="auto" w:fill="D9D9D9"/>
            <w:vAlign w:val="center"/>
          </w:tcPr>
          <w:p w14:paraId="1FFB325D">
            <w:pPr>
              <w:keepNext w:val="0"/>
              <w:keepLines w:val="0"/>
              <w:pageBreakBefore w:val="0"/>
              <w:widowControl w:val="0"/>
              <w:kinsoku/>
              <w:wordWrap/>
              <w:overflowPunct/>
              <w:topLinePunct w:val="0"/>
              <w:autoSpaceDE/>
              <w:autoSpaceDN/>
              <w:bidi w:val="0"/>
              <w:adjustRightInd w:val="0"/>
              <w:snapToGrid w:val="0"/>
              <w:jc w:val="left"/>
              <w:textAlignment w:val="auto"/>
              <w:rPr>
                <w:rFonts w:ascii="宋体" w:hAnsi="宋体" w:cs="宋体"/>
                <w:kern w:val="0"/>
                <w:sz w:val="24"/>
                <w:szCs w:val="24"/>
              </w:rPr>
            </w:pPr>
            <w:r>
              <w:rPr>
                <w:rFonts w:hint="eastAsia" w:ascii="宋体" w:hAnsi="宋体" w:cs="宋体"/>
                <w:kern w:val="0"/>
                <w:sz w:val="24"/>
                <w:szCs w:val="24"/>
              </w:rPr>
              <w:t>备注</w:t>
            </w:r>
          </w:p>
        </w:tc>
        <w:tc>
          <w:tcPr>
            <w:tcW w:w="6949" w:type="dxa"/>
            <w:gridSpan w:val="2"/>
          </w:tcPr>
          <w:p w14:paraId="4E12265A">
            <w:pPr>
              <w:pStyle w:val="3"/>
              <w:keepNext w:val="0"/>
              <w:keepLines w:val="0"/>
              <w:pageBreakBefore w:val="0"/>
              <w:widowControl w:val="0"/>
              <w:kinsoku/>
              <w:wordWrap/>
              <w:overflowPunct/>
              <w:topLinePunct w:val="0"/>
              <w:autoSpaceDE/>
              <w:autoSpaceDN/>
              <w:bidi w:val="0"/>
              <w:adjustRightInd w:val="0"/>
              <w:snapToGrid w:val="0"/>
              <w:spacing w:after="0"/>
              <w:ind w:firstLine="0" w:firstLineChars="0"/>
              <w:textAlignment w:val="auto"/>
              <w:rPr>
                <w:rFonts w:hint="eastAsia" w:ascii="宋体" w:hAnsi="宋体" w:cs="宋体"/>
                <w:b/>
                <w:bCs/>
                <w:kern w:val="0"/>
                <w:sz w:val="24"/>
                <w:szCs w:val="24"/>
                <w:lang w:val="en-US" w:eastAsia="zh-CN"/>
              </w:rPr>
            </w:pPr>
            <w:r>
              <w:rPr>
                <w:rFonts w:hint="eastAsia" w:ascii="宋体" w:hAnsi="宋体" w:cs="宋体"/>
                <w:b/>
                <w:bCs/>
                <w:kern w:val="0"/>
                <w:sz w:val="24"/>
                <w:szCs w:val="24"/>
                <w:lang w:val="en-US" w:eastAsia="zh-CN"/>
              </w:rPr>
              <w:t>混合集中：</w:t>
            </w:r>
          </w:p>
          <w:p w14:paraId="0D171D1F">
            <w:pPr>
              <w:pStyle w:val="3"/>
              <w:keepNext w:val="0"/>
              <w:keepLines w:val="0"/>
              <w:pageBreakBefore w:val="0"/>
              <w:widowControl w:val="0"/>
              <w:kinsoku/>
              <w:wordWrap/>
              <w:overflowPunct/>
              <w:topLinePunct w:val="0"/>
              <w:autoSpaceDE/>
              <w:autoSpaceDN/>
              <w:bidi w:val="0"/>
              <w:adjustRightInd w:val="0"/>
              <w:snapToGrid w:val="0"/>
              <w:spacing w:after="0"/>
              <w:ind w:firstLine="0" w:firstLineChars="0"/>
              <w:textAlignment w:val="auto"/>
              <w:rPr>
                <w:rFonts w:hint="eastAsia" w:ascii="宋体" w:hAnsi="宋体" w:cs="宋体"/>
                <w:kern w:val="0"/>
                <w:sz w:val="24"/>
                <w:szCs w:val="24"/>
                <w:lang w:val="en-US" w:eastAsia="zh-CN"/>
              </w:rPr>
            </w:pPr>
            <w:r>
              <w:rPr>
                <w:rFonts w:hint="eastAsia" w:ascii="宋体" w:hAnsi="宋体" w:cs="宋体"/>
                <w:kern w:val="0"/>
                <w:sz w:val="24"/>
                <w:szCs w:val="24"/>
                <w:lang w:val="en-US" w:eastAsia="zh-CN"/>
              </w:rPr>
              <w:t>河北省内机动车成品油零售市场：</w:t>
            </w:r>
          </w:p>
          <w:p w14:paraId="7EE2C7F0">
            <w:pPr>
              <w:pStyle w:val="3"/>
              <w:keepNext w:val="0"/>
              <w:keepLines w:val="0"/>
              <w:pageBreakBefore w:val="0"/>
              <w:widowControl w:val="0"/>
              <w:kinsoku/>
              <w:wordWrap/>
              <w:overflowPunct/>
              <w:topLinePunct w:val="0"/>
              <w:autoSpaceDE/>
              <w:autoSpaceDN/>
              <w:bidi w:val="0"/>
              <w:adjustRightInd w:val="0"/>
              <w:snapToGrid w:val="0"/>
              <w:spacing w:after="0"/>
              <w:ind w:firstLine="0" w:firstLineChars="0"/>
              <w:textAlignment w:val="auto"/>
              <w:rPr>
                <w:rFonts w:hint="eastAsia" w:ascii="宋体" w:hAnsi="宋体" w:cs="宋体"/>
                <w:kern w:val="0"/>
                <w:sz w:val="24"/>
                <w:szCs w:val="24"/>
                <w:lang w:val="en-US" w:eastAsia="zh-CN"/>
              </w:rPr>
            </w:pPr>
            <w:r>
              <w:rPr>
                <w:rFonts w:hint="eastAsia" w:ascii="宋体" w:hAnsi="宋体" w:cs="宋体"/>
                <w:kern w:val="0"/>
                <w:sz w:val="24"/>
                <w:szCs w:val="24"/>
                <w:lang w:val="en-US" w:eastAsia="zh-CN"/>
              </w:rPr>
              <w:t>中石化销售：15-20%</w:t>
            </w:r>
          </w:p>
          <w:p w14:paraId="0703486F">
            <w:pPr>
              <w:pStyle w:val="3"/>
              <w:keepNext w:val="0"/>
              <w:keepLines w:val="0"/>
              <w:pageBreakBefore w:val="0"/>
              <w:widowControl w:val="0"/>
              <w:kinsoku/>
              <w:wordWrap/>
              <w:overflowPunct/>
              <w:topLinePunct w:val="0"/>
              <w:autoSpaceDE/>
              <w:autoSpaceDN/>
              <w:bidi w:val="0"/>
              <w:adjustRightInd w:val="0"/>
              <w:snapToGrid w:val="0"/>
              <w:spacing w:after="0"/>
              <w:ind w:firstLine="0" w:firstLineChars="0"/>
              <w:textAlignment w:val="auto"/>
              <w:rPr>
                <w:rFonts w:hint="eastAsia" w:ascii="宋体" w:hAnsi="宋体" w:cs="宋体"/>
                <w:kern w:val="0"/>
                <w:sz w:val="24"/>
                <w:szCs w:val="24"/>
                <w:lang w:val="en-US" w:eastAsia="zh-CN"/>
              </w:rPr>
            </w:pPr>
            <w:r>
              <w:rPr>
                <w:rFonts w:hint="eastAsia" w:ascii="宋体" w:hAnsi="宋体" w:cs="宋体"/>
                <w:kern w:val="0"/>
                <w:sz w:val="24"/>
                <w:szCs w:val="24"/>
                <w:lang w:val="en-US" w:eastAsia="zh-CN"/>
              </w:rPr>
              <w:t>河北省内电动汽车充电服务市场：</w:t>
            </w:r>
          </w:p>
          <w:p w14:paraId="3481257D">
            <w:pPr>
              <w:pStyle w:val="3"/>
              <w:keepNext w:val="0"/>
              <w:keepLines w:val="0"/>
              <w:pageBreakBefore w:val="0"/>
              <w:widowControl w:val="0"/>
              <w:kinsoku/>
              <w:wordWrap/>
              <w:overflowPunct/>
              <w:topLinePunct w:val="0"/>
              <w:autoSpaceDE/>
              <w:autoSpaceDN/>
              <w:bidi w:val="0"/>
              <w:adjustRightInd w:val="0"/>
              <w:snapToGrid w:val="0"/>
              <w:spacing w:after="0"/>
              <w:ind w:firstLine="0" w:firstLineChars="0"/>
              <w:textAlignment w:val="auto"/>
              <w:rPr>
                <w:rFonts w:hint="eastAsia" w:ascii="宋体" w:hAnsi="宋体" w:cs="宋体"/>
                <w:kern w:val="0"/>
                <w:sz w:val="24"/>
                <w:szCs w:val="24"/>
                <w:lang w:val="en-US" w:eastAsia="zh-CN"/>
              </w:rPr>
            </w:pPr>
            <w:r>
              <w:rPr>
                <w:rFonts w:hint="eastAsia" w:ascii="宋体" w:hAnsi="宋体" w:cs="宋体"/>
                <w:kern w:val="0"/>
                <w:sz w:val="24"/>
                <w:szCs w:val="24"/>
                <w:lang w:val="en-US" w:eastAsia="zh-CN"/>
              </w:rPr>
              <w:t>中石化销售：0-5%</w:t>
            </w:r>
          </w:p>
          <w:p w14:paraId="7FB2ACD2">
            <w:pPr>
              <w:pStyle w:val="3"/>
              <w:keepNext w:val="0"/>
              <w:keepLines w:val="0"/>
              <w:pageBreakBefore w:val="0"/>
              <w:widowControl w:val="0"/>
              <w:kinsoku/>
              <w:wordWrap/>
              <w:overflowPunct/>
              <w:topLinePunct w:val="0"/>
              <w:autoSpaceDE/>
              <w:autoSpaceDN/>
              <w:bidi w:val="0"/>
              <w:adjustRightInd w:val="0"/>
              <w:snapToGrid w:val="0"/>
              <w:spacing w:after="0"/>
              <w:ind w:firstLine="0" w:firstLineChars="0"/>
              <w:textAlignment w:val="auto"/>
              <w:rPr>
                <w:rFonts w:hint="eastAsia" w:ascii="宋体" w:hAnsi="宋体" w:cs="宋体"/>
                <w:kern w:val="0"/>
                <w:sz w:val="24"/>
                <w:szCs w:val="24"/>
                <w:lang w:val="en-US" w:eastAsia="zh-CN"/>
              </w:rPr>
            </w:pPr>
            <w:r>
              <w:rPr>
                <w:rFonts w:hint="eastAsia" w:ascii="宋体" w:hAnsi="宋体" w:cs="宋体"/>
                <w:kern w:val="0"/>
                <w:sz w:val="24"/>
                <w:szCs w:val="24"/>
                <w:lang w:val="en-US" w:eastAsia="zh-CN"/>
              </w:rPr>
              <w:t>河北省内机动车LNG加注服务市场：</w:t>
            </w:r>
          </w:p>
          <w:p w14:paraId="4AF58345">
            <w:pPr>
              <w:pStyle w:val="3"/>
              <w:keepNext w:val="0"/>
              <w:keepLines w:val="0"/>
              <w:pageBreakBefore w:val="0"/>
              <w:widowControl w:val="0"/>
              <w:kinsoku/>
              <w:wordWrap/>
              <w:overflowPunct/>
              <w:topLinePunct w:val="0"/>
              <w:autoSpaceDE/>
              <w:autoSpaceDN/>
              <w:bidi w:val="0"/>
              <w:adjustRightInd w:val="0"/>
              <w:snapToGrid w:val="0"/>
              <w:spacing w:after="0"/>
              <w:ind w:firstLine="0" w:firstLineChars="0"/>
              <w:textAlignment w:val="auto"/>
              <w:rPr>
                <w:rFonts w:ascii="宋体" w:hAnsi="宋体" w:cs="宋体"/>
                <w:kern w:val="0"/>
                <w:sz w:val="24"/>
                <w:szCs w:val="24"/>
              </w:rPr>
            </w:pPr>
            <w:r>
              <w:rPr>
                <w:rFonts w:hint="eastAsia" w:ascii="宋体" w:hAnsi="宋体" w:cs="宋体"/>
                <w:kern w:val="0"/>
                <w:sz w:val="24"/>
                <w:szCs w:val="24"/>
                <w:lang w:val="en-US" w:eastAsia="zh-CN"/>
              </w:rPr>
              <w:t>中石化销售：5-10%</w:t>
            </w:r>
          </w:p>
        </w:tc>
      </w:tr>
    </w:tbl>
    <w:p w14:paraId="768C0F31">
      <w:pPr>
        <w:rPr>
          <w:rFonts w:ascii="宋体" w:hAnsi="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汉仪中等线KW"/>
    <w:panose1 w:val="02010600030101010101"/>
    <w:charset w:val="86"/>
    <w:family w:val="auto"/>
    <w:pitch w:val="default"/>
    <w:sig w:usb0="00000000" w:usb1="00000000" w:usb2="00000016" w:usb3="00000000" w:csb0="0004000F" w:csb1="00000000"/>
  </w:font>
  <w:font w:name="等线">
    <w:altName w:val="汉仪中等线KW"/>
    <w:panose1 w:val="00000000000000000000"/>
    <w:charset w:val="86"/>
    <w:family w:val="auto"/>
    <w:pitch w:val="default"/>
    <w:sig w:usb0="00000000" w:usb1="00000000" w:usb2="0000000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 w:name="PingFang SC">
    <w:panose1 w:val="020B0400000000000000"/>
    <w:charset w:val="86"/>
    <w:family w:val="auto"/>
    <w:pitch w:val="default"/>
    <w:sig w:usb0="A00002FF" w:usb1="7ACFFDFB" w:usb2="00000017" w:usb3="00000000" w:csb0="00040001" w:csb1="00000000"/>
  </w:font>
  <w:font w:name="汉仪中等线KW">
    <w:panose1 w:val="01010104010101010101"/>
    <w:charset w:val="86"/>
    <w:family w:val="auto"/>
    <w:pitch w:val="default"/>
    <w:sig w:usb0="800002BF" w:usb1="004F7CFA" w:usb2="00000000" w:usb3="00000000" w:csb0="00040001" w:csb1="00000000"/>
  </w:font>
  <w:font w:name="汉仪中黑KW">
    <w:panose1 w:val="00020600040101010101"/>
    <w:charset w:val="86"/>
    <w:family w:val="auto"/>
    <w:pitch w:val="default"/>
    <w:sig w:usb0="A00002BF" w:usb1="18EF7CFA" w:usb2="00000016" w:usb3="00000000" w:csb0="00040000"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Kingsoft Sign">
    <w:panose1 w:val="05050102010706020507"/>
    <w:charset w:val="00"/>
    <w:family w:val="auto"/>
    <w:pitch w:val="default"/>
    <w:sig w:usb0="00000000" w:usb1="10000000" w:usb2="00000000" w:usb3="00000000" w:csb0="00000001" w:csb1="00000000"/>
  </w:font>
  <w:font w:name="宋体-简">
    <w:panose1 w:val="02010800040101010101"/>
    <w:charset w:val="86"/>
    <w:family w:val="auto"/>
    <w:pitch w:val="default"/>
    <w:sig w:usb0="00000001" w:usb1="080F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0DF"/>
    <w:rsid w:val="000020AC"/>
    <w:rsid w:val="000040CA"/>
    <w:rsid w:val="000157C4"/>
    <w:rsid w:val="00036385"/>
    <w:rsid w:val="00037065"/>
    <w:rsid w:val="000455AB"/>
    <w:rsid w:val="0005476E"/>
    <w:rsid w:val="00067DF1"/>
    <w:rsid w:val="000820CD"/>
    <w:rsid w:val="00083FA8"/>
    <w:rsid w:val="000B22C7"/>
    <w:rsid w:val="000B66B5"/>
    <w:rsid w:val="000C6D39"/>
    <w:rsid w:val="000D7EBA"/>
    <w:rsid w:val="000F2F09"/>
    <w:rsid w:val="000F784A"/>
    <w:rsid w:val="00103150"/>
    <w:rsid w:val="00107AF4"/>
    <w:rsid w:val="001164CD"/>
    <w:rsid w:val="00134435"/>
    <w:rsid w:val="00155717"/>
    <w:rsid w:val="00156B85"/>
    <w:rsid w:val="001837A3"/>
    <w:rsid w:val="0019005E"/>
    <w:rsid w:val="001A622B"/>
    <w:rsid w:val="001D7132"/>
    <w:rsid w:val="001E2DC9"/>
    <w:rsid w:val="00202A61"/>
    <w:rsid w:val="002114BC"/>
    <w:rsid w:val="00223C91"/>
    <w:rsid w:val="002252FC"/>
    <w:rsid w:val="00240046"/>
    <w:rsid w:val="00242AA2"/>
    <w:rsid w:val="002A0EF3"/>
    <w:rsid w:val="002B2D73"/>
    <w:rsid w:val="002D33F4"/>
    <w:rsid w:val="002E3FBF"/>
    <w:rsid w:val="002E6829"/>
    <w:rsid w:val="002E7468"/>
    <w:rsid w:val="003267B2"/>
    <w:rsid w:val="0032797C"/>
    <w:rsid w:val="003529D3"/>
    <w:rsid w:val="003737C3"/>
    <w:rsid w:val="00373D0B"/>
    <w:rsid w:val="00392077"/>
    <w:rsid w:val="003C0AEB"/>
    <w:rsid w:val="003C56C4"/>
    <w:rsid w:val="003E6AD0"/>
    <w:rsid w:val="00417D35"/>
    <w:rsid w:val="00425C3D"/>
    <w:rsid w:val="00443AC7"/>
    <w:rsid w:val="004606CF"/>
    <w:rsid w:val="00482BB9"/>
    <w:rsid w:val="0048612F"/>
    <w:rsid w:val="00490EDE"/>
    <w:rsid w:val="004C64B0"/>
    <w:rsid w:val="004F0447"/>
    <w:rsid w:val="004F0CFC"/>
    <w:rsid w:val="004F3F3D"/>
    <w:rsid w:val="004F7688"/>
    <w:rsid w:val="00503046"/>
    <w:rsid w:val="00512C6B"/>
    <w:rsid w:val="005375EC"/>
    <w:rsid w:val="0054706E"/>
    <w:rsid w:val="005609E3"/>
    <w:rsid w:val="00567CF2"/>
    <w:rsid w:val="00571159"/>
    <w:rsid w:val="0057694A"/>
    <w:rsid w:val="00582B3C"/>
    <w:rsid w:val="005917AB"/>
    <w:rsid w:val="005B4E17"/>
    <w:rsid w:val="005D5F54"/>
    <w:rsid w:val="005F3AE7"/>
    <w:rsid w:val="006300B8"/>
    <w:rsid w:val="00637936"/>
    <w:rsid w:val="006414AA"/>
    <w:rsid w:val="0064437A"/>
    <w:rsid w:val="006467D8"/>
    <w:rsid w:val="00651139"/>
    <w:rsid w:val="00661D25"/>
    <w:rsid w:val="006642AF"/>
    <w:rsid w:val="00676100"/>
    <w:rsid w:val="00680863"/>
    <w:rsid w:val="0068574F"/>
    <w:rsid w:val="006904D2"/>
    <w:rsid w:val="006A023B"/>
    <w:rsid w:val="006A531B"/>
    <w:rsid w:val="006A6A72"/>
    <w:rsid w:val="006B05B7"/>
    <w:rsid w:val="006B6AAC"/>
    <w:rsid w:val="006F7693"/>
    <w:rsid w:val="007000EF"/>
    <w:rsid w:val="00710140"/>
    <w:rsid w:val="00731B1F"/>
    <w:rsid w:val="00750080"/>
    <w:rsid w:val="00777982"/>
    <w:rsid w:val="007827ED"/>
    <w:rsid w:val="007B4FCD"/>
    <w:rsid w:val="007B7FEA"/>
    <w:rsid w:val="007C2E3B"/>
    <w:rsid w:val="007C35CF"/>
    <w:rsid w:val="007D3DF1"/>
    <w:rsid w:val="007F2275"/>
    <w:rsid w:val="007F267C"/>
    <w:rsid w:val="008527CF"/>
    <w:rsid w:val="0085390D"/>
    <w:rsid w:val="00853C59"/>
    <w:rsid w:val="008636D6"/>
    <w:rsid w:val="00875567"/>
    <w:rsid w:val="00880C4E"/>
    <w:rsid w:val="008B427F"/>
    <w:rsid w:val="009004A6"/>
    <w:rsid w:val="00915F0F"/>
    <w:rsid w:val="00935D56"/>
    <w:rsid w:val="009532DF"/>
    <w:rsid w:val="00955252"/>
    <w:rsid w:val="0099638D"/>
    <w:rsid w:val="00997019"/>
    <w:rsid w:val="009A5029"/>
    <w:rsid w:val="009B252B"/>
    <w:rsid w:val="009B3D2A"/>
    <w:rsid w:val="009B5FCC"/>
    <w:rsid w:val="009B6FA4"/>
    <w:rsid w:val="009C03FF"/>
    <w:rsid w:val="009C5997"/>
    <w:rsid w:val="009D0C0E"/>
    <w:rsid w:val="009D38D5"/>
    <w:rsid w:val="009D6816"/>
    <w:rsid w:val="009E24BF"/>
    <w:rsid w:val="009E272B"/>
    <w:rsid w:val="00A041CF"/>
    <w:rsid w:val="00A06C51"/>
    <w:rsid w:val="00A30357"/>
    <w:rsid w:val="00A36457"/>
    <w:rsid w:val="00A53F26"/>
    <w:rsid w:val="00A731AD"/>
    <w:rsid w:val="00A84DC3"/>
    <w:rsid w:val="00A869EE"/>
    <w:rsid w:val="00A87769"/>
    <w:rsid w:val="00A96CDE"/>
    <w:rsid w:val="00AA0CC5"/>
    <w:rsid w:val="00AB3C14"/>
    <w:rsid w:val="00AE3403"/>
    <w:rsid w:val="00AE4060"/>
    <w:rsid w:val="00AF166F"/>
    <w:rsid w:val="00B16AFE"/>
    <w:rsid w:val="00B205E9"/>
    <w:rsid w:val="00B65DD5"/>
    <w:rsid w:val="00BA16BC"/>
    <w:rsid w:val="00BA18F6"/>
    <w:rsid w:val="00BB1ACB"/>
    <w:rsid w:val="00BC062B"/>
    <w:rsid w:val="00BD10B6"/>
    <w:rsid w:val="00C07076"/>
    <w:rsid w:val="00C328F3"/>
    <w:rsid w:val="00C37176"/>
    <w:rsid w:val="00C41003"/>
    <w:rsid w:val="00C430B8"/>
    <w:rsid w:val="00C44842"/>
    <w:rsid w:val="00C54664"/>
    <w:rsid w:val="00C54E91"/>
    <w:rsid w:val="00C82509"/>
    <w:rsid w:val="00C90E13"/>
    <w:rsid w:val="00CA50E4"/>
    <w:rsid w:val="00CB00DF"/>
    <w:rsid w:val="00CD6287"/>
    <w:rsid w:val="00CF596B"/>
    <w:rsid w:val="00D57D2A"/>
    <w:rsid w:val="00D67D08"/>
    <w:rsid w:val="00D73C72"/>
    <w:rsid w:val="00DA35A2"/>
    <w:rsid w:val="00DB03A8"/>
    <w:rsid w:val="00DD1711"/>
    <w:rsid w:val="00E0592B"/>
    <w:rsid w:val="00E12234"/>
    <w:rsid w:val="00E27F6E"/>
    <w:rsid w:val="00E31738"/>
    <w:rsid w:val="00E42656"/>
    <w:rsid w:val="00E47502"/>
    <w:rsid w:val="00E735ED"/>
    <w:rsid w:val="00E86786"/>
    <w:rsid w:val="00EA4F05"/>
    <w:rsid w:val="00ED2F80"/>
    <w:rsid w:val="00ED3661"/>
    <w:rsid w:val="00ED5DBA"/>
    <w:rsid w:val="00F1624E"/>
    <w:rsid w:val="00F32D68"/>
    <w:rsid w:val="00F32F8A"/>
    <w:rsid w:val="00F44682"/>
    <w:rsid w:val="00F45C62"/>
    <w:rsid w:val="00F63C49"/>
    <w:rsid w:val="00F75D88"/>
    <w:rsid w:val="00F810AA"/>
    <w:rsid w:val="00F831D8"/>
    <w:rsid w:val="00F834A7"/>
    <w:rsid w:val="00FB0D91"/>
    <w:rsid w:val="00FB1B4D"/>
    <w:rsid w:val="00FB43EC"/>
    <w:rsid w:val="00FB6B40"/>
    <w:rsid w:val="00FB75EA"/>
    <w:rsid w:val="00FE4546"/>
    <w:rsid w:val="00FF2815"/>
    <w:rsid w:val="00FF6B3B"/>
    <w:rsid w:val="2BC55E8B"/>
    <w:rsid w:val="3DEF083E"/>
    <w:rsid w:val="3FDD31F6"/>
    <w:rsid w:val="53FEAEC6"/>
    <w:rsid w:val="679E5A86"/>
    <w:rsid w:val="6BFD5E49"/>
    <w:rsid w:val="78770D1B"/>
    <w:rsid w:val="7AEA6602"/>
    <w:rsid w:val="7D3F4534"/>
    <w:rsid w:val="BF9B2548"/>
    <w:rsid w:val="BFF602D7"/>
    <w:rsid w:val="BFF9337A"/>
    <w:rsid w:val="E3FFA96A"/>
    <w:rsid w:val="F7F6F347"/>
    <w:rsid w:val="FEECE080"/>
    <w:rsid w:val="FF9DA29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w:basedOn w:val="1"/>
    <w:next w:val="3"/>
    <w:link w:val="10"/>
    <w:unhideWhenUsed/>
    <w:qFormat/>
    <w:uiPriority w:val="99"/>
    <w:pPr>
      <w:spacing w:after="120"/>
    </w:pPr>
    <w:rPr>
      <w:rFonts w:ascii="Times New Roman" w:hAnsi="Times New Roman"/>
      <w:szCs w:val="24"/>
    </w:rPr>
  </w:style>
  <w:style w:type="paragraph" w:styleId="3">
    <w:name w:val="Body Text First Indent"/>
    <w:basedOn w:val="2"/>
    <w:link w:val="11"/>
    <w:qFormat/>
    <w:uiPriority w:val="0"/>
    <w:pPr>
      <w:ind w:firstLine="420" w:firstLineChars="100"/>
    </w:pPr>
  </w:style>
  <w:style w:type="paragraph" w:styleId="4">
    <w:name w:val="footer"/>
    <w:basedOn w:val="1"/>
    <w:link w:val="9"/>
    <w:unhideWhenUsed/>
    <w:uiPriority w:val="99"/>
    <w:pPr>
      <w:tabs>
        <w:tab w:val="center" w:pos="4153"/>
        <w:tab w:val="right" w:pos="8306"/>
      </w:tabs>
      <w:snapToGrid w:val="0"/>
      <w:jc w:val="left"/>
    </w:pPr>
    <w:rPr>
      <w:sz w:val="18"/>
      <w:szCs w:val="18"/>
    </w:rPr>
  </w:style>
  <w:style w:type="paragraph" w:styleId="5">
    <w:name w:val="header"/>
    <w:basedOn w:val="1"/>
    <w:link w:val="8"/>
    <w:unhideWhenUsed/>
    <w:uiPriority w:val="99"/>
    <w:pPr>
      <w:tabs>
        <w:tab w:val="center" w:pos="4153"/>
        <w:tab w:val="right" w:pos="8306"/>
      </w:tabs>
      <w:snapToGrid w:val="0"/>
      <w:jc w:val="center"/>
    </w:pPr>
    <w:rPr>
      <w:sz w:val="18"/>
      <w:szCs w:val="18"/>
    </w:rPr>
  </w:style>
  <w:style w:type="character" w:customStyle="1" w:styleId="8">
    <w:name w:val="页眉 字符"/>
    <w:basedOn w:val="7"/>
    <w:link w:val="5"/>
    <w:uiPriority w:val="99"/>
    <w:rPr>
      <w:rFonts w:ascii="Calibri" w:hAnsi="Calibri" w:eastAsia="宋体" w:cs="Times New Roman"/>
      <w:sz w:val="18"/>
      <w:szCs w:val="18"/>
    </w:rPr>
  </w:style>
  <w:style w:type="character" w:customStyle="1" w:styleId="9">
    <w:name w:val="页脚 字符"/>
    <w:basedOn w:val="7"/>
    <w:link w:val="4"/>
    <w:uiPriority w:val="99"/>
    <w:rPr>
      <w:rFonts w:ascii="Calibri" w:hAnsi="Calibri" w:eastAsia="宋体" w:cs="Times New Roman"/>
      <w:sz w:val="18"/>
      <w:szCs w:val="18"/>
    </w:rPr>
  </w:style>
  <w:style w:type="character" w:customStyle="1" w:styleId="10">
    <w:name w:val="正文文本 字符"/>
    <w:basedOn w:val="7"/>
    <w:link w:val="2"/>
    <w:uiPriority w:val="99"/>
    <w:rPr>
      <w:rFonts w:ascii="Times New Roman" w:hAnsi="Times New Roman" w:eastAsia="宋体" w:cs="Times New Roman"/>
      <w:szCs w:val="24"/>
    </w:rPr>
  </w:style>
  <w:style w:type="character" w:customStyle="1" w:styleId="11">
    <w:name w:val="正文文本首行缩进 字符"/>
    <w:basedOn w:val="10"/>
    <w:link w:val="3"/>
    <w:uiPriority w:val="0"/>
    <w:rPr>
      <w:rFonts w:ascii="Times New Roman" w:hAnsi="Times New Roman" w:eastAsia="宋体" w:cs="Times New Roman"/>
      <w:szCs w:val="24"/>
    </w:rPr>
  </w:style>
  <w:style w:type="paragraph" w:customStyle="1" w:styleId="12">
    <w:name w:val="Revision"/>
    <w:hidden/>
    <w:semiHidden/>
    <w:uiPriority w:val="99"/>
    <w:rPr>
      <w:rFonts w:ascii="Calibri" w:hAnsi="Calibri" w:eastAsia="宋体" w:cs="Times New Roman"/>
      <w:kern w:val="2"/>
      <w:sz w:val="21"/>
      <w:szCs w:val="22"/>
      <w:lang w:val="en-US" w:eastAsia="zh-CN" w:bidi="ar-SA"/>
    </w:rPr>
  </w:style>
  <w:style w:type="table" w:customStyle="1" w:styleId="13">
    <w:name w:val="Table Normal"/>
    <w:semiHidden/>
    <w:unhideWhenUsed/>
    <w:qFormat/>
    <w:uiPriority w:val="0"/>
    <w:tblPr>
      <w:tblCellMar>
        <w:top w:w="0" w:type="dxa"/>
        <w:left w:w="0" w:type="dxa"/>
        <w:bottom w:w="0" w:type="dxa"/>
        <w:right w:w="0" w:type="dxa"/>
      </w:tblCellMar>
    </w:tblPr>
  </w:style>
  <w:style w:type="paragraph" w:customStyle="1" w:styleId="14">
    <w:name w:val="Table Text"/>
    <w:basedOn w:val="1"/>
    <w:semiHidden/>
    <w:qFormat/>
    <w:uiPriority w:val="0"/>
    <w:rPr>
      <w:rFonts w:ascii="PingFang SC" w:hAnsi="PingFang SC" w:eastAsia="PingFang SC" w:cs="PingFang SC"/>
      <w:sz w:val="24"/>
      <w:szCs w:val="24"/>
      <w:lang w:val="en-US" w:eastAsia="en-US" w:bidi="ar-SA"/>
    </w:rPr>
  </w:style>
  <w:style w:type="paragraph" w:customStyle="1" w:styleId="15">
    <w:name w:val="Table Paragraph"/>
    <w:basedOn w:val="1"/>
    <w:qFormat/>
    <w:uiPriority w:val="1"/>
    <w:pPr>
      <w:ind w:left="107"/>
    </w:pPr>
    <w:rPr>
      <w:rFonts w:ascii="宋体" w:hAnsi="宋体" w:eastAsia="宋体" w:cs="宋体"/>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146</Words>
  <Characters>834</Characters>
  <Lines>6</Lines>
  <Paragraphs>1</Paragraphs>
  <TotalTime>1</TotalTime>
  <ScaleCrop>false</ScaleCrop>
  <LinksUpToDate>false</LinksUpToDate>
  <CharactersWithSpaces>979</CharactersWithSpaces>
  <Application>WPS Office_12.1.23141.23141_F1E327BC-269C-435d-A152-05C5408002CA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2025-07-20T03:34:00Z</dcterms:created>
  <dc:creator>陈媚</dc:creator>
  <cp:lastModifiedBy>李蕊</cp:lastModifiedBy>
  <dcterms:modified xsi:type="dcterms:W3CDTF">2025-11-05T17:08:59Z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2052-12.1.23141.23141</vt:lpwstr>
  </property>
  <property fmtid="{D5CDD505-2E9C-101B-9397-08002B2CF9AE}" pid="3" name="ICV">
    <vt:lpwstr>AA53D5B2A001F07FA0130B69A716C715_43</vt:lpwstr>
  </property>
</Properties>
</file>