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/>
        <w:jc w:val="center"/>
        <w:rPr>
          <w:rFonts w:ascii="Times New Roman" w:hAnsi="Times New Roman" w:eastAsia="黑体" w:cs="Times New Roman"/>
          <w:bCs/>
          <w:kern w:val="0"/>
          <w:sz w:val="36"/>
          <w:szCs w:val="36"/>
          <w:lang w:bidi="ar-AE"/>
        </w:rPr>
      </w:pPr>
      <w:bookmarkStart w:id="0" w:name="_GoBack"/>
      <w:bookmarkEnd w:id="0"/>
      <w:r>
        <w:rPr>
          <w:rFonts w:ascii="Times New Roman" w:hAnsi="Times New Roman" w:eastAsia="黑体" w:cs="Times New Roman"/>
          <w:bCs/>
          <w:kern w:val="0"/>
          <w:sz w:val="36"/>
          <w:szCs w:val="36"/>
          <w:lang w:bidi="ar-AE"/>
        </w:rPr>
        <w:t>经营者集中简易案件公示表</w:t>
      </w:r>
    </w:p>
    <w:tbl>
      <w:tblPr>
        <w:tblStyle w:val="5"/>
        <w:tblW w:w="96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607"/>
        <w:gridCol w:w="6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940" w:type="dxa"/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eastAsia="en-GB" w:bidi="ar-AE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eastAsia="en-GB" w:bidi="ar-AE"/>
              </w:rPr>
              <w:t>案件名称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北京荣辉普照新能源科技有限公司与能控易碳（北京）数字科技有限公司新设合营企业案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940" w:type="dxa"/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交易概况（限200字内）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-AE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北京荣辉普照新能源科技有限公司（“荣辉普照公司”）与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能控易碳（北京）数字科技有限公司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（“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能控易碳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公司”）签署协议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-AE"/>
              </w:rPr>
              <w:t>，拟共同出资设立合营企业。合营企业主要从事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bidi="ar-AE"/>
              </w:rPr>
              <w:t>光伏电站的运行维护服务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-AE"/>
              </w:rPr>
              <w:t>。</w:t>
            </w: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-AE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-A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-AE"/>
              </w:rPr>
              <w:t>在交易完成后，荣辉普照公司与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能控易碳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公司将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-AE"/>
              </w:rPr>
              <w:t>分别持有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bidi="ar-AE"/>
              </w:rPr>
              <w:t>占合营企业注册资本51%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-AE"/>
              </w:rPr>
              <w:t>和4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bidi="ar-AE"/>
              </w:rPr>
              <w:t>9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-AE"/>
              </w:rPr>
              <w:t>%的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bidi="ar-AE"/>
              </w:rPr>
              <w:t>股权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-AE"/>
              </w:rPr>
              <w:t>，共同控制合营企业。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参与集中的经营者简介（每个限100字以内）</w:t>
            </w:r>
          </w:p>
        </w:tc>
        <w:tc>
          <w:tcPr>
            <w:tcW w:w="1607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eastAsia="en-GB" w:bidi="ar-AE"/>
              </w:rPr>
              <w:t>荣辉普照公司</w:t>
            </w:r>
          </w:p>
        </w:tc>
        <w:tc>
          <w:tcPr>
            <w:tcW w:w="6093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-A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-AE"/>
              </w:rPr>
              <w:t>荣辉普照公司于2021年12月20日成立于北京市，主要业务为企业管理咨询、企业管理、经济贸易咨询、以自有资金从事投资活动。</w:t>
            </w:r>
          </w:p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荣辉普照公司的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-AE"/>
              </w:rPr>
              <w:t>最终控制人为普洛斯集团，主要业务为供应链、大数据及新能源领域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bidi="ar-AE"/>
              </w:rPr>
              <w:t>新型基础设施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-AE"/>
              </w:rPr>
              <w:t>的产业服务与投资管理。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能控易碳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公司</w:t>
            </w:r>
          </w:p>
        </w:tc>
        <w:tc>
          <w:tcPr>
            <w:tcW w:w="6093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能控易碳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公司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-AE"/>
              </w:rPr>
              <w:t>于201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bidi="ar-AE"/>
              </w:rPr>
              <w:t>7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-AE"/>
              </w:rPr>
              <w:t>年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bidi="ar-AE"/>
              </w:rPr>
              <w:t>4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-AE"/>
              </w:rPr>
              <w:t>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bidi="ar-AE"/>
              </w:rPr>
              <w:t>26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-AE"/>
              </w:rPr>
              <w:t>日成立于北京市，主要业务为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bidi="ar-AE"/>
              </w:rPr>
              <w:t>提供产品碳足迹核算、评价、认证、咨询等服务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-AE"/>
              </w:rPr>
              <w:t>。</w:t>
            </w:r>
          </w:p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能控易碳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公司的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ar-AE"/>
              </w:rPr>
              <w:t>最终控制人为国家能源集团，主要业务为开展煤炭等资源性产品、煤制油、煤化工、电力、热力、港口、各类运输业、金融、国内外贸易及物流、房地产、高科技、信息咨询等行业领域的投资、管理。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简易案件理由（可以单选，也可以多选）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sym w:font="Wingdings" w:char="00FE"/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 xml:space="preserve"> 1、在同一相关市场，所有参与集中的经营者所占市场份额之和小于15%。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sym w:font="Wingdings" w:char="00FE"/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 xml:space="preserve"> 2、存在上下游关系的参与集中的经营者，在上下游市场所占的市场份额均小于25%。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 xml:space="preserve"> 3、不在同一相关市场、也不存在上下游关系的参与集中的经营者，在与交易有关的每个市场所占的份额均小于25%。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 xml:space="preserve"> 4、参与集中的经营者在中国境外设立合营企业，合营企业不在中国境内从事经济活动。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 xml:space="preserve"> 5、参与集中的经营者收购境外企业股权或资产的，该境外企业不在中国境内从事经济活动。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 xml:space="preserve"> 6、由两个以上的经营者共同控制的合营企业，通过集中被其中一个或一个以上经营者控制。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</w:trPr>
        <w:tc>
          <w:tcPr>
            <w:tcW w:w="1940" w:type="dxa"/>
            <w:shd w:val="clear" w:color="auto" w:fill="D9D9D9"/>
            <w:vAlign w:val="center"/>
          </w:tcPr>
          <w:p>
            <w:pPr>
              <w:keepNext/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备注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-AE"/>
              </w:rPr>
              <w:t>横向重叠：</w:t>
            </w:r>
          </w:p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202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4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年中国境内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光伏发电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市场：</w:t>
            </w:r>
          </w:p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荣辉普照公司：[0-5]%；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能控易碳公司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：[0-5]%；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eastAsia="zh-CN" w:bidi="ar-AE"/>
              </w:rPr>
              <w:t>双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方合计：[0-5]%</w:t>
            </w:r>
          </w:p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-AE"/>
              </w:rPr>
            </w:pPr>
          </w:p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-AE"/>
              </w:rPr>
              <w:t>纵向关联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-AE"/>
              </w:rPr>
              <w:t>：</w:t>
            </w:r>
          </w:p>
          <w:p>
            <w:pPr>
              <w:keepNext/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上游：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202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4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年中国境内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光伏电站运行维护市场：</w:t>
            </w:r>
          </w:p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能控易碳公司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：[0-5]%</w:t>
            </w:r>
          </w:p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下游：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202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4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年中国境内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光伏发电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市场：</w:t>
            </w:r>
          </w:p>
          <w:p>
            <w:pPr>
              <w:keepNext/>
              <w:widowControl/>
              <w:adjustRightInd w:val="0"/>
              <w:snapToGrid w:val="0"/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eastAsia="zh-CN" w:bidi="ar-AE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荣辉普照公司：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如上所述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eastAsia="zh-CN" w:bidi="ar-AE"/>
              </w:rPr>
              <w:t>；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能控易碳公司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：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如上所述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eastAsia="zh-CN" w:bidi="ar-AE"/>
              </w:rPr>
              <w:t>。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440" w:right="1440" w:bottom="1276" w:left="1440" w:header="720" w:footer="34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plified Arabic">
    <w:altName w:val="DejaVu Sans"/>
    <w:panose1 w:val="00000000000000000000"/>
    <w:charset w:val="B2"/>
    <w:family w:val="roman"/>
    <w:pitch w:val="default"/>
    <w:sig w:usb0="00000000" w:usb1="00000000" w:usb2="00000008" w:usb3="00000000" w:csb0="0000004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0" w:type="auto"/>
      <w:tblInd w:w="0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80"/>
      <w:gridCol w:w="3081"/>
      <w:gridCol w:w="3081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3080" w:type="dxa"/>
        </w:tcPr>
        <w:p>
          <w:pPr>
            <w:pStyle w:val="3"/>
            <w:rPr>
              <w:rFonts w:hint="eastAsia"/>
            </w:rPr>
          </w:pPr>
        </w:p>
      </w:tc>
      <w:tc>
        <w:tcPr>
          <w:tcW w:w="3081" w:type="dxa"/>
        </w:tcPr>
        <w:p>
          <w:pPr>
            <w:pStyle w:val="3"/>
            <w:jc w:val="center"/>
            <w:rPr>
              <w:rStyle w:val="7"/>
            </w:rPr>
          </w:pPr>
          <w:r>
            <w:rPr>
              <w:rStyle w:val="7"/>
            </w:rPr>
            <w:t xml:space="preserve">- </w:t>
          </w:r>
          <w:r>
            <w:rPr>
              <w:rStyle w:val="7"/>
            </w:rPr>
            <w:fldChar w:fldCharType="begin"/>
          </w:r>
          <w:r>
            <w:rPr>
              <w:rStyle w:val="7"/>
            </w:rPr>
            <w:instrText xml:space="preserve"> PAGE   \* MERGEFORMAT </w:instrText>
          </w:r>
          <w:r>
            <w:rPr>
              <w:rStyle w:val="7"/>
            </w:rPr>
            <w:fldChar w:fldCharType="separate"/>
          </w:r>
          <w:r>
            <w:rPr>
              <w:rStyle w:val="7"/>
              <w:lang w:val="en-US"/>
            </w:rPr>
            <w:t>1</w:t>
          </w:r>
          <w:r>
            <w:rPr>
              <w:rStyle w:val="7"/>
            </w:rPr>
            <w:fldChar w:fldCharType="end"/>
          </w:r>
          <w:r>
            <w:rPr>
              <w:rStyle w:val="7"/>
            </w:rPr>
            <w:t xml:space="preserve"> -</w:t>
          </w:r>
        </w:p>
      </w:tc>
      <w:tc>
        <w:tcPr>
          <w:tcW w:w="3081" w:type="dxa"/>
        </w:tcPr>
        <w:p>
          <w:pPr>
            <w:pStyle w:val="10"/>
          </w:pPr>
        </w:p>
      </w:tc>
    </w:tr>
  </w:tbl>
  <w:p>
    <w:pPr>
      <w:pStyle w:val="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77F"/>
    <w:rsid w:val="000168A7"/>
    <w:rsid w:val="0002490E"/>
    <w:rsid w:val="000304C5"/>
    <w:rsid w:val="00030CAD"/>
    <w:rsid w:val="000715F8"/>
    <w:rsid w:val="00110525"/>
    <w:rsid w:val="00112D17"/>
    <w:rsid w:val="00142991"/>
    <w:rsid w:val="001511CA"/>
    <w:rsid w:val="00152252"/>
    <w:rsid w:val="001D2638"/>
    <w:rsid w:val="00200058"/>
    <w:rsid w:val="002318F3"/>
    <w:rsid w:val="00240762"/>
    <w:rsid w:val="002432E2"/>
    <w:rsid w:val="00245C3F"/>
    <w:rsid w:val="00253068"/>
    <w:rsid w:val="002779A9"/>
    <w:rsid w:val="002A76DF"/>
    <w:rsid w:val="002E0DF1"/>
    <w:rsid w:val="002F4EA7"/>
    <w:rsid w:val="0033657B"/>
    <w:rsid w:val="00387D6F"/>
    <w:rsid w:val="003A4303"/>
    <w:rsid w:val="003A6628"/>
    <w:rsid w:val="003F5BBC"/>
    <w:rsid w:val="004623E0"/>
    <w:rsid w:val="0048577F"/>
    <w:rsid w:val="00545274"/>
    <w:rsid w:val="00550D4C"/>
    <w:rsid w:val="00560094"/>
    <w:rsid w:val="00567F36"/>
    <w:rsid w:val="006110FC"/>
    <w:rsid w:val="00624BE6"/>
    <w:rsid w:val="00683E88"/>
    <w:rsid w:val="006902E7"/>
    <w:rsid w:val="006B2B77"/>
    <w:rsid w:val="006D0C54"/>
    <w:rsid w:val="006E0FFF"/>
    <w:rsid w:val="00727A29"/>
    <w:rsid w:val="00795583"/>
    <w:rsid w:val="007A25EC"/>
    <w:rsid w:val="007C3E5F"/>
    <w:rsid w:val="007E6D8B"/>
    <w:rsid w:val="00874E06"/>
    <w:rsid w:val="008922DF"/>
    <w:rsid w:val="008A60C3"/>
    <w:rsid w:val="008B445D"/>
    <w:rsid w:val="00974C0A"/>
    <w:rsid w:val="0097506D"/>
    <w:rsid w:val="009B04C2"/>
    <w:rsid w:val="009B5AD8"/>
    <w:rsid w:val="009C3150"/>
    <w:rsid w:val="00A27713"/>
    <w:rsid w:val="00A91C93"/>
    <w:rsid w:val="00B34621"/>
    <w:rsid w:val="00B95861"/>
    <w:rsid w:val="00BA1891"/>
    <w:rsid w:val="00BA23FD"/>
    <w:rsid w:val="00C35796"/>
    <w:rsid w:val="00C374C4"/>
    <w:rsid w:val="00C57EFB"/>
    <w:rsid w:val="00CC4B51"/>
    <w:rsid w:val="00CE38A0"/>
    <w:rsid w:val="00D23123"/>
    <w:rsid w:val="00D33135"/>
    <w:rsid w:val="00D84085"/>
    <w:rsid w:val="00DA4944"/>
    <w:rsid w:val="00DF230A"/>
    <w:rsid w:val="00E77A59"/>
    <w:rsid w:val="00E81953"/>
    <w:rsid w:val="00EA11A3"/>
    <w:rsid w:val="00EC4673"/>
    <w:rsid w:val="00F055BE"/>
    <w:rsid w:val="00F33914"/>
    <w:rsid w:val="00F47E35"/>
    <w:rsid w:val="7EFBF15C"/>
    <w:rsid w:val="BEFF142C"/>
    <w:rsid w:val="FB47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  <w:rPr>
      <w:rFonts w:ascii="Times New Roman" w:hAnsi="Times New Roman" w:eastAsia="宋体" w:cs="Simplified Arabic"/>
      <w:sz w:val="24"/>
      <w:szCs w:val="24"/>
      <w:lang w:val="en-GB" w:bidi="ar-A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0">
    <w:name w:val="Footer Right"/>
    <w:basedOn w:val="3"/>
    <w:qFormat/>
    <w:uiPriority w:val="0"/>
    <w:pPr>
      <w:widowControl/>
      <w:tabs>
        <w:tab w:val="clear" w:pos="4153"/>
        <w:tab w:val="clear" w:pos="8306"/>
      </w:tabs>
      <w:snapToGrid/>
      <w:jc w:val="right"/>
    </w:pPr>
    <w:rPr>
      <w:rFonts w:ascii="Times New Roman" w:hAnsi="Times New Roman" w:eastAsia="宋体" w:cs="Times New Roman"/>
      <w:kern w:val="0"/>
      <w:sz w:val="16"/>
      <w:szCs w:val="16"/>
      <w:lang w:val="en-GB" w:bidi="he-IL"/>
    </w:rPr>
  </w:style>
  <w:style w:type="paragraph" w:customStyle="1" w:styleId="1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143</Words>
  <Characters>817</Characters>
  <Lines>6</Lines>
  <Paragraphs>1</Paragraphs>
  <TotalTime>0</TotalTime>
  <ScaleCrop>false</ScaleCrop>
  <LinksUpToDate>false</LinksUpToDate>
  <CharactersWithSpaces>959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2025-09-03T23:37:00Z</dcterms:created>
  <dc:creator>GLO</dc:creator>
  <cp:lastModifiedBy>scjgj</cp:lastModifiedBy>
  <dcterms:modified xsi:type="dcterms:W3CDTF">2025-09-08T16:55:04Z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