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465F6C">
      <w:pPr>
        <w:spacing w:line="600" w:lineRule="exact"/>
        <w:jc w:val="center"/>
        <w:rPr>
          <w:rFonts w:eastAsia="方正小标宋简体"/>
          <w:bCs/>
          <w:color w:val="000000"/>
          <w:sz w:val="44"/>
          <w:szCs w:val="44"/>
          <w:lang w:bidi="ar"/>
        </w:rPr>
      </w:pPr>
    </w:p>
    <w:p w14:paraId="43C782C8">
      <w:pPr>
        <w:widowControl/>
        <w:spacing w:after="240"/>
        <w:jc w:val="center"/>
        <w:rPr>
          <w:rFonts w:eastAsia="方正小标宋简体"/>
          <w:bCs/>
          <w:kern w:val="0"/>
          <w:sz w:val="44"/>
          <w:szCs w:val="44"/>
          <w:lang w:val="en-GB" w:bidi="ar-AE"/>
        </w:rPr>
      </w:pPr>
      <w:r>
        <w:rPr>
          <w:rFonts w:eastAsia="黑体"/>
          <w:bCs/>
          <w:sz w:val="44"/>
          <w:szCs w:val="44"/>
        </w:rPr>
        <w:t xml:space="preserve"> </w:t>
      </w:r>
      <w:bookmarkStart w:id="0" w:name="_GoBack"/>
      <w:r>
        <w:rPr>
          <w:rFonts w:eastAsia="方正小标宋简体"/>
          <w:bCs/>
          <w:kern w:val="0"/>
          <w:sz w:val="44"/>
          <w:szCs w:val="44"/>
          <w:lang w:val="en-GB" w:bidi="ar-AE"/>
        </w:rPr>
        <w:t>经营者集中简易案件公示表</w:t>
      </w:r>
      <w:bookmarkEnd w:id="0"/>
    </w:p>
    <w:tbl>
      <w:tblPr>
        <w:tblStyle w:val="12"/>
        <w:tblW w:w="9640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0"/>
        <w:gridCol w:w="1607"/>
        <w:gridCol w:w="6093"/>
      </w:tblGrid>
      <w:tr w14:paraId="4D33F6D4">
        <w:trPr>
          <w:trHeight w:val="594" w:hRule="atLeast"/>
        </w:trPr>
        <w:tc>
          <w:tcPr>
            <w:tcW w:w="1940" w:type="dxa"/>
            <w:shd w:val="clear" w:color="auto" w:fill="D9D9D9"/>
            <w:vAlign w:val="center"/>
          </w:tcPr>
          <w:p w14:paraId="57F1169C">
            <w:pPr>
              <w:pStyle w:val="5"/>
              <w:widowControl/>
              <w:adjustRightInd w:val="0"/>
              <w:snapToGrid w:val="0"/>
              <w:spacing w:after="0"/>
              <w:rPr>
                <w:bCs/>
                <w:color w:val="000000"/>
                <w:kern w:val="0"/>
                <w:sz w:val="24"/>
              </w:rPr>
            </w:pPr>
            <w:r>
              <w:rPr>
                <w:bCs/>
                <w:color w:val="000000"/>
                <w:kern w:val="0"/>
                <w:sz w:val="24"/>
                <w:lang w:val="en-GB"/>
              </w:rPr>
              <w:t>案件名称</w:t>
            </w:r>
          </w:p>
        </w:tc>
        <w:tc>
          <w:tcPr>
            <w:tcW w:w="7700" w:type="dxa"/>
            <w:gridSpan w:val="2"/>
            <w:vAlign w:val="center"/>
          </w:tcPr>
          <w:p w14:paraId="56FD4459">
            <w:pPr>
              <w:widowControl/>
              <w:adjustRightInd w:val="0"/>
              <w:snapToGrid w:val="0"/>
              <w:rPr>
                <w:bCs/>
                <w:color w:val="000000"/>
                <w:kern w:val="0"/>
                <w:sz w:val="24"/>
                <w:lang w:bidi="ar-AE"/>
              </w:rPr>
            </w:pPr>
            <w:r>
              <w:rPr>
                <w:rFonts w:hint="eastAsia"/>
                <w:bCs/>
                <w:color w:val="000000"/>
                <w:kern w:val="0"/>
                <w:sz w:val="24"/>
                <w:lang w:bidi="ar-AE"/>
              </w:rPr>
              <w:t>北京北燃能源有限公</w:t>
            </w:r>
            <w:r>
              <w:rPr>
                <w:rFonts w:hint="eastAsia"/>
                <w:bCs/>
                <w:color w:val="000000"/>
                <w:kern w:val="0"/>
                <w:sz w:val="24"/>
                <w:lang w:val="en-US" w:eastAsia="zh-CN" w:bidi="ar-AE"/>
              </w:rPr>
              <w:t>司</w:t>
            </w:r>
            <w:r>
              <w:rPr>
                <w:rFonts w:hint="eastAsia"/>
                <w:bCs/>
                <w:color w:val="000000"/>
                <w:kern w:val="0"/>
                <w:sz w:val="24"/>
                <w:lang w:bidi="ar-AE"/>
              </w:rPr>
              <w:t>与北京新奥新能能源投资有限公司新设合营企业案</w:t>
            </w:r>
          </w:p>
        </w:tc>
      </w:tr>
      <w:tr w14:paraId="37F112F3">
        <w:trPr>
          <w:trHeight w:val="1391" w:hRule="atLeast"/>
        </w:trPr>
        <w:tc>
          <w:tcPr>
            <w:tcW w:w="1940" w:type="dxa"/>
            <w:shd w:val="clear" w:color="auto" w:fill="D9D9D9"/>
            <w:vAlign w:val="center"/>
          </w:tcPr>
          <w:p w14:paraId="5D90FD74">
            <w:pPr>
              <w:pStyle w:val="5"/>
              <w:widowControl/>
              <w:adjustRightInd w:val="0"/>
              <w:snapToGrid w:val="0"/>
              <w:spacing w:after="0"/>
              <w:rPr>
                <w:bCs/>
                <w:color w:val="000000"/>
                <w:kern w:val="0"/>
                <w:sz w:val="24"/>
              </w:rPr>
            </w:pPr>
            <w:r>
              <w:rPr>
                <w:bCs/>
                <w:color w:val="000000"/>
                <w:kern w:val="0"/>
                <w:sz w:val="24"/>
                <w:lang w:val="en-GB"/>
              </w:rPr>
              <w:t>交易概况（限200字内）</w:t>
            </w:r>
          </w:p>
        </w:tc>
        <w:tc>
          <w:tcPr>
            <w:tcW w:w="7700" w:type="dxa"/>
            <w:gridSpan w:val="2"/>
            <w:vAlign w:val="center"/>
          </w:tcPr>
          <w:p w14:paraId="23CAFE93">
            <w:pPr>
              <w:widowControl/>
              <w:adjustRightInd w:val="0"/>
              <w:snapToGrid w:val="0"/>
              <w:rPr>
                <w:bCs/>
                <w:color w:val="000000"/>
                <w:kern w:val="0"/>
                <w:sz w:val="24"/>
                <w:lang w:val="en-GB" w:bidi="ar-AE"/>
              </w:rPr>
            </w:pPr>
            <w:r>
              <w:rPr>
                <w:rFonts w:hint="default"/>
                <w:bCs/>
                <w:color w:val="000000"/>
                <w:kern w:val="0"/>
                <w:sz w:val="24"/>
                <w:highlight w:val="none"/>
                <w:lang w:bidi="ar-AE"/>
              </w:rPr>
              <w:t>2025年</w:t>
            </w:r>
            <w:r>
              <w:rPr>
                <w:rFonts w:hint="eastAsia"/>
                <w:bCs/>
                <w:color w:val="000000"/>
                <w:kern w:val="0"/>
                <w:sz w:val="24"/>
                <w:highlight w:val="none"/>
                <w:lang w:val="en-US" w:eastAsia="zh-CN" w:bidi="ar-AE"/>
              </w:rPr>
              <w:t>5月</w:t>
            </w:r>
            <w:r>
              <w:rPr>
                <w:rFonts w:hint="default"/>
                <w:bCs/>
                <w:color w:val="000000"/>
                <w:kern w:val="0"/>
                <w:sz w:val="24"/>
                <w:lang w:bidi="ar-AE"/>
              </w:rPr>
              <w:t>，</w:t>
            </w:r>
            <w:r>
              <w:rPr>
                <w:rFonts w:hint="eastAsia"/>
                <w:bCs/>
                <w:color w:val="000000"/>
                <w:kern w:val="0"/>
                <w:sz w:val="24"/>
                <w:lang w:bidi="ar-AE"/>
              </w:rPr>
              <w:t>北京北燃能源有限公</w:t>
            </w:r>
            <w:r>
              <w:rPr>
                <w:rFonts w:hint="eastAsia"/>
                <w:bCs/>
                <w:color w:val="000000"/>
                <w:kern w:val="0"/>
                <w:sz w:val="24"/>
                <w:lang w:val="en-US" w:eastAsia="zh-CN" w:bidi="ar-AE"/>
              </w:rPr>
              <w:t>司（“</w:t>
            </w:r>
            <w:r>
              <w:rPr>
                <w:rFonts w:hint="default"/>
                <w:bCs/>
                <w:color w:val="000000"/>
                <w:kern w:val="0"/>
                <w:sz w:val="24"/>
                <w:lang w:bidi="ar-AE"/>
              </w:rPr>
              <w:t>北燃能源</w:t>
            </w:r>
            <w:r>
              <w:rPr>
                <w:rFonts w:hint="eastAsia"/>
                <w:bCs/>
                <w:color w:val="000000"/>
                <w:kern w:val="0"/>
                <w:sz w:val="24"/>
                <w:lang w:val="en-US" w:eastAsia="zh-CN" w:bidi="ar-AE"/>
              </w:rPr>
              <w:t>”）与</w:t>
            </w:r>
            <w:r>
              <w:rPr>
                <w:rFonts w:hint="eastAsia"/>
                <w:bCs/>
                <w:color w:val="000000"/>
                <w:kern w:val="0"/>
                <w:sz w:val="24"/>
                <w:lang w:bidi="ar-AE"/>
              </w:rPr>
              <w:t>北京新奥新能能源投资有限公司</w:t>
            </w:r>
            <w:r>
              <w:rPr>
                <w:rFonts w:hint="eastAsia"/>
                <w:bCs/>
                <w:color w:val="000000"/>
                <w:kern w:val="0"/>
                <w:sz w:val="24"/>
                <w:lang w:eastAsia="zh-CN" w:bidi="ar-AE"/>
              </w:rPr>
              <w:t>（“</w:t>
            </w:r>
            <w:r>
              <w:rPr>
                <w:rFonts w:hint="default"/>
                <w:bCs/>
                <w:color w:val="000000"/>
                <w:kern w:val="0"/>
                <w:sz w:val="24"/>
                <w:lang w:bidi="ar-AE"/>
              </w:rPr>
              <w:t>新奥新能</w:t>
            </w:r>
            <w:r>
              <w:rPr>
                <w:rFonts w:hint="eastAsia"/>
                <w:bCs/>
                <w:color w:val="000000"/>
                <w:kern w:val="0"/>
                <w:sz w:val="24"/>
                <w:lang w:eastAsia="zh-CN" w:bidi="ar-AE"/>
              </w:rPr>
              <w:t>”）</w:t>
            </w:r>
            <w:r>
              <w:rPr>
                <w:rFonts w:hint="default"/>
                <w:bCs/>
                <w:color w:val="000000"/>
                <w:kern w:val="0"/>
                <w:sz w:val="24"/>
                <w:lang w:bidi="ar-AE"/>
              </w:rPr>
              <w:t>签署</w:t>
            </w:r>
            <w:r>
              <w:rPr>
                <w:rFonts w:hint="eastAsia"/>
                <w:bCs/>
                <w:color w:val="000000"/>
                <w:kern w:val="0"/>
                <w:sz w:val="24"/>
                <w:lang w:val="en-US" w:eastAsia="zh-CN" w:bidi="ar-AE"/>
              </w:rPr>
              <w:t>交易文件</w:t>
            </w:r>
            <w:r>
              <w:rPr>
                <w:rFonts w:hint="default"/>
                <w:bCs/>
                <w:color w:val="000000"/>
                <w:kern w:val="0"/>
                <w:sz w:val="24"/>
                <w:lang w:bidi="ar-AE"/>
              </w:rPr>
              <w:t>，</w:t>
            </w:r>
            <w:r>
              <w:rPr>
                <w:rFonts w:hint="default"/>
                <w:bCs/>
                <w:color w:val="000000"/>
                <w:kern w:val="0"/>
                <w:sz w:val="24"/>
                <w:lang w:val="en-US" w:eastAsia="zh-CN" w:bidi="ar-AE"/>
              </w:rPr>
              <w:t>拟</w:t>
            </w:r>
            <w:r>
              <w:rPr>
                <w:rFonts w:hint="default"/>
                <w:bCs/>
                <w:color w:val="000000"/>
                <w:kern w:val="0"/>
                <w:sz w:val="24"/>
                <w:lang w:bidi="ar-AE"/>
              </w:rPr>
              <w:t>共同出资</w:t>
            </w:r>
            <w:r>
              <w:rPr>
                <w:rFonts w:hint="default"/>
                <w:bCs/>
                <w:color w:val="000000"/>
                <w:kern w:val="0"/>
                <w:sz w:val="24"/>
                <w:lang w:val="en-US" w:eastAsia="zh-CN" w:bidi="ar-AE"/>
              </w:rPr>
              <w:t>新设合营企业</w:t>
            </w:r>
            <w:r>
              <w:rPr>
                <w:rFonts w:hint="default"/>
                <w:bCs/>
                <w:color w:val="000000"/>
                <w:kern w:val="0"/>
                <w:sz w:val="24"/>
                <w:lang w:eastAsia="zh-CN" w:bidi="ar-AE"/>
              </w:rPr>
              <w:t>。</w:t>
            </w:r>
            <w:r>
              <w:rPr>
                <w:rFonts w:hint="default"/>
                <w:bCs/>
                <w:color w:val="000000"/>
                <w:kern w:val="0"/>
                <w:sz w:val="24"/>
                <w:lang w:val="en-US" w:eastAsia="zh-CN" w:bidi="ar-AE"/>
              </w:rPr>
              <w:t>合营企业将主要从事</w:t>
            </w:r>
            <w:r>
              <w:rPr>
                <w:rFonts w:hint="default"/>
                <w:bCs/>
                <w:color w:val="000000"/>
                <w:kern w:val="0"/>
                <w:sz w:val="24"/>
                <w:lang w:bidi="ar-AE"/>
              </w:rPr>
              <w:t>综合能源服务。交易后，北燃能源</w:t>
            </w:r>
            <w:r>
              <w:rPr>
                <w:rFonts w:hint="default"/>
                <w:bCs/>
                <w:color w:val="000000"/>
                <w:kern w:val="0"/>
                <w:sz w:val="24"/>
                <w:lang w:val="en-US" w:eastAsia="zh-CN" w:bidi="ar-AE"/>
              </w:rPr>
              <w:t>和</w:t>
            </w:r>
            <w:r>
              <w:rPr>
                <w:rFonts w:hint="default"/>
                <w:bCs/>
                <w:color w:val="000000"/>
                <w:kern w:val="0"/>
                <w:sz w:val="24"/>
                <w:lang w:bidi="ar-AE"/>
              </w:rPr>
              <w:t>新奥新能</w:t>
            </w:r>
            <w:r>
              <w:rPr>
                <w:rFonts w:hint="default"/>
                <w:bCs/>
                <w:color w:val="000000"/>
                <w:kern w:val="0"/>
                <w:sz w:val="24"/>
                <w:lang w:val="en-US" w:eastAsia="zh-CN" w:bidi="ar-AE"/>
              </w:rPr>
              <w:t>分别持有</w:t>
            </w:r>
            <w:r>
              <w:rPr>
                <w:rFonts w:hint="default"/>
                <w:bCs/>
                <w:color w:val="000000"/>
                <w:kern w:val="0"/>
                <w:sz w:val="24"/>
                <w:lang w:bidi="ar-AE"/>
              </w:rPr>
              <w:t>合营企业51%</w:t>
            </w:r>
            <w:r>
              <w:rPr>
                <w:rFonts w:hint="default"/>
                <w:bCs/>
                <w:color w:val="000000"/>
                <w:kern w:val="0"/>
                <w:sz w:val="24"/>
                <w:lang w:val="en-US" w:eastAsia="zh-CN" w:bidi="ar-AE"/>
              </w:rPr>
              <w:t>和</w:t>
            </w:r>
            <w:r>
              <w:rPr>
                <w:rFonts w:hint="default"/>
                <w:bCs/>
                <w:color w:val="000000"/>
                <w:kern w:val="0"/>
                <w:sz w:val="24"/>
                <w:lang w:bidi="ar-AE"/>
              </w:rPr>
              <w:t>49%的股权，双方共同控制合营企业。</w:t>
            </w:r>
          </w:p>
        </w:tc>
      </w:tr>
      <w:tr w14:paraId="1DD9E7C2">
        <w:trPr>
          <w:trHeight w:val="1536" w:hRule="atLeast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 w14:paraId="3670C580">
            <w:pPr>
              <w:pStyle w:val="5"/>
              <w:widowControl/>
              <w:adjustRightInd w:val="0"/>
              <w:snapToGrid w:val="0"/>
              <w:spacing w:after="0"/>
              <w:rPr>
                <w:bCs/>
                <w:color w:val="000000"/>
                <w:kern w:val="0"/>
                <w:sz w:val="24"/>
              </w:rPr>
            </w:pPr>
            <w:r>
              <w:rPr>
                <w:bCs/>
                <w:color w:val="000000"/>
                <w:kern w:val="0"/>
                <w:sz w:val="24"/>
                <w:lang w:val="en-GB"/>
              </w:rPr>
              <w:t>参与集中的经营者简介（每个限</w:t>
            </w:r>
            <w:r>
              <w:rPr>
                <w:bCs/>
                <w:color w:val="000000"/>
                <w:kern w:val="0"/>
                <w:sz w:val="24"/>
              </w:rPr>
              <w:t>100字以内</w:t>
            </w:r>
            <w:r>
              <w:rPr>
                <w:bCs/>
                <w:color w:val="000000"/>
                <w:kern w:val="0"/>
                <w:sz w:val="24"/>
                <w:lang w:val="en-GB"/>
              </w:rPr>
              <w:t>）</w:t>
            </w:r>
          </w:p>
        </w:tc>
        <w:tc>
          <w:tcPr>
            <w:tcW w:w="1607" w:type="dxa"/>
            <w:vAlign w:val="center"/>
          </w:tcPr>
          <w:p w14:paraId="1F559572">
            <w:pPr>
              <w:pStyle w:val="5"/>
              <w:widowControl/>
              <w:adjustRightInd w:val="0"/>
              <w:snapToGrid w:val="0"/>
              <w:spacing w:after="0"/>
              <w:rPr>
                <w:rFonts w:hint="default" w:eastAsia="宋体"/>
                <w:bCs/>
                <w:color w:val="000000"/>
                <w:kern w:val="0"/>
                <w:sz w:val="24"/>
                <w:lang w:val="en-US" w:eastAsia="zh-CN" w:bidi="ar-AE"/>
              </w:rPr>
            </w:pPr>
            <w:r>
              <w:rPr>
                <w:bCs/>
                <w:color w:val="000000"/>
                <w:kern w:val="0"/>
                <w:sz w:val="24"/>
                <w:lang w:bidi="ar-AE"/>
              </w:rPr>
              <w:t>1.</w:t>
            </w:r>
            <w:r>
              <w:rPr>
                <w:rFonts w:hint="eastAsia"/>
                <w:bCs/>
                <w:color w:val="000000"/>
                <w:kern w:val="0"/>
                <w:sz w:val="24"/>
                <w:lang w:val="en-US" w:eastAsia="zh-CN" w:bidi="ar-AE"/>
              </w:rPr>
              <w:t>北燃能源</w:t>
            </w:r>
          </w:p>
        </w:tc>
        <w:tc>
          <w:tcPr>
            <w:tcW w:w="6093" w:type="dxa"/>
            <w:vAlign w:val="center"/>
          </w:tcPr>
          <w:p w14:paraId="3152F701">
            <w:pPr>
              <w:widowControl/>
              <w:adjustRightInd w:val="0"/>
              <w:snapToGrid w:val="0"/>
              <w:rPr>
                <w:rFonts w:hint="eastAsia"/>
                <w:bCs/>
                <w:color w:val="000000"/>
                <w:kern w:val="0"/>
                <w:sz w:val="24"/>
                <w:lang w:val="en-US" w:eastAsia="zh-CN" w:bidi="ar-AE"/>
              </w:rPr>
            </w:pPr>
            <w:r>
              <w:rPr>
                <w:rFonts w:hint="eastAsia"/>
                <w:bCs/>
                <w:color w:val="000000"/>
                <w:kern w:val="0"/>
                <w:sz w:val="24"/>
                <w:lang w:eastAsia="zh-CN" w:bidi="ar-AE"/>
              </w:rPr>
              <w:t>北燃能</w:t>
            </w:r>
            <w:r>
              <w:rPr>
                <w:rFonts w:hint="eastAsia"/>
                <w:bCs/>
                <w:color w:val="000000"/>
                <w:kern w:val="0"/>
                <w:sz w:val="24"/>
                <w:lang w:val="en-US" w:eastAsia="zh-CN" w:bidi="ar-AE"/>
              </w:rPr>
              <w:t>源于2023年3月27日成立于北京市，主要从事</w:t>
            </w:r>
            <w:r>
              <w:rPr>
                <w:rFonts w:hint="default"/>
                <w:bCs/>
                <w:color w:val="000000"/>
                <w:kern w:val="0"/>
                <w:sz w:val="24"/>
                <w:lang w:val="en-US" w:eastAsia="zh-CN" w:bidi="ar-AE"/>
              </w:rPr>
              <w:t>综合能源及新能源业务</w:t>
            </w:r>
            <w:r>
              <w:rPr>
                <w:rFonts w:hint="eastAsia"/>
                <w:bCs/>
                <w:color w:val="000000"/>
                <w:kern w:val="0"/>
                <w:sz w:val="24"/>
                <w:lang w:val="en-US" w:eastAsia="zh-CN" w:bidi="ar-AE"/>
              </w:rPr>
              <w:t>。</w:t>
            </w:r>
          </w:p>
          <w:p w14:paraId="56DAAADE">
            <w:pPr>
              <w:widowControl/>
              <w:adjustRightInd w:val="0"/>
              <w:snapToGrid w:val="0"/>
              <w:rPr>
                <w:bCs/>
                <w:color w:val="000000"/>
                <w:kern w:val="0"/>
                <w:sz w:val="24"/>
                <w:lang w:bidi="ar-AE"/>
              </w:rPr>
            </w:pPr>
            <w:r>
              <w:rPr>
                <w:rFonts w:hint="eastAsia"/>
                <w:bCs/>
                <w:color w:val="000000"/>
                <w:kern w:val="0"/>
                <w:sz w:val="24"/>
                <w:lang w:eastAsia="zh-CN" w:bidi="ar-AE"/>
              </w:rPr>
              <w:t>北燃能源</w:t>
            </w:r>
            <w:r>
              <w:rPr>
                <w:bCs/>
                <w:color w:val="000000"/>
                <w:kern w:val="0"/>
                <w:sz w:val="24"/>
                <w:lang w:bidi="ar-AE"/>
              </w:rPr>
              <w:t>最终控制人为</w:t>
            </w:r>
            <w:r>
              <w:rPr>
                <w:rFonts w:hint="default"/>
                <w:bCs/>
                <w:color w:val="000000"/>
                <w:kern w:val="0"/>
                <w:sz w:val="24"/>
                <w:lang w:bidi="ar-AE"/>
              </w:rPr>
              <w:t>北京市燃气集团有限责任公司</w:t>
            </w:r>
            <w:r>
              <w:rPr>
                <w:rFonts w:hint="eastAsia"/>
                <w:bCs/>
                <w:color w:val="000000"/>
                <w:kern w:val="0"/>
                <w:sz w:val="24"/>
                <w:lang w:bidi="ar-AE"/>
              </w:rPr>
              <w:t>，主要从事燃气供应与销售；燃气设备的检测、检修、安装；燃气、热力技术开发、技术转让、技术咨询、技术服务；天然气项目外输管道工程；新建液化天然气接收站及配套码头工程等。</w:t>
            </w:r>
          </w:p>
        </w:tc>
      </w:tr>
      <w:tr w14:paraId="41A1EEA7">
        <w:trPr>
          <w:trHeight w:val="984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 w14:paraId="4B9CC089">
            <w:pPr>
              <w:pStyle w:val="5"/>
              <w:widowControl/>
              <w:adjustRightInd w:val="0"/>
              <w:snapToGrid w:val="0"/>
              <w:spacing w:after="0"/>
              <w:rPr>
                <w:bCs/>
                <w:color w:val="000000"/>
                <w:kern w:val="0"/>
                <w:sz w:val="24"/>
              </w:rPr>
            </w:pPr>
          </w:p>
        </w:tc>
        <w:tc>
          <w:tcPr>
            <w:tcW w:w="1607" w:type="dxa"/>
            <w:vAlign w:val="center"/>
          </w:tcPr>
          <w:p w14:paraId="57933769">
            <w:pPr>
              <w:pStyle w:val="5"/>
              <w:widowControl/>
              <w:adjustRightInd w:val="0"/>
              <w:snapToGrid w:val="0"/>
              <w:spacing w:after="0"/>
              <w:rPr>
                <w:rFonts w:hint="default" w:eastAsia="宋体"/>
                <w:bCs/>
                <w:color w:val="000000"/>
                <w:kern w:val="0"/>
                <w:sz w:val="24"/>
                <w:lang w:val="en-US" w:eastAsia="zh-CN" w:bidi="ar-AE"/>
              </w:rPr>
            </w:pPr>
            <w:r>
              <w:rPr>
                <w:bCs/>
                <w:color w:val="000000"/>
                <w:kern w:val="0"/>
                <w:sz w:val="24"/>
                <w:lang w:bidi="ar-AE"/>
              </w:rPr>
              <w:t>2.</w:t>
            </w:r>
            <w:r>
              <w:rPr>
                <w:rFonts w:hint="eastAsia"/>
                <w:bCs/>
                <w:color w:val="000000"/>
                <w:kern w:val="0"/>
                <w:sz w:val="24"/>
                <w:lang w:val="en-US" w:eastAsia="zh-CN" w:bidi="ar-AE"/>
              </w:rPr>
              <w:t>新奥新能</w:t>
            </w:r>
          </w:p>
        </w:tc>
        <w:tc>
          <w:tcPr>
            <w:tcW w:w="6093" w:type="dxa"/>
            <w:vAlign w:val="center"/>
          </w:tcPr>
          <w:p w14:paraId="45C1A9B6">
            <w:pPr>
              <w:widowControl/>
              <w:adjustRightInd w:val="0"/>
              <w:snapToGrid w:val="0"/>
              <w:rPr>
                <w:bCs/>
                <w:color w:val="000000"/>
                <w:kern w:val="0"/>
                <w:sz w:val="24"/>
                <w:lang w:bidi="ar-AE"/>
              </w:rPr>
            </w:pPr>
            <w:r>
              <w:rPr>
                <w:rFonts w:hint="eastAsia"/>
                <w:bCs/>
                <w:color w:val="000000"/>
                <w:kern w:val="0"/>
                <w:sz w:val="24"/>
                <w:lang w:val="en-US" w:eastAsia="zh-CN" w:bidi="ar-AE"/>
              </w:rPr>
              <w:t>新奥新能</w:t>
            </w:r>
            <w:r>
              <w:rPr>
                <w:bCs/>
                <w:color w:val="000000"/>
                <w:kern w:val="0"/>
                <w:sz w:val="24"/>
                <w:lang w:bidi="ar-AE"/>
              </w:rPr>
              <w:t>于</w:t>
            </w:r>
            <w:r>
              <w:rPr>
                <w:rFonts w:hint="eastAsia"/>
                <w:bCs/>
                <w:color w:val="000000"/>
                <w:kern w:val="0"/>
                <w:sz w:val="24"/>
                <w:lang w:bidi="ar-AE"/>
              </w:rPr>
              <w:t>20</w:t>
            </w:r>
            <w:r>
              <w:rPr>
                <w:rFonts w:hint="eastAsia"/>
                <w:bCs/>
                <w:color w:val="000000"/>
                <w:kern w:val="0"/>
                <w:sz w:val="24"/>
                <w:lang w:val="en-US" w:eastAsia="zh-CN" w:bidi="ar-AE"/>
              </w:rPr>
              <w:t>14</w:t>
            </w:r>
            <w:r>
              <w:rPr>
                <w:bCs/>
                <w:color w:val="000000"/>
                <w:kern w:val="0"/>
                <w:sz w:val="24"/>
                <w:lang w:bidi="ar-AE"/>
              </w:rPr>
              <w:t>年</w:t>
            </w:r>
            <w:r>
              <w:rPr>
                <w:rFonts w:hint="eastAsia"/>
                <w:bCs/>
                <w:color w:val="000000"/>
                <w:kern w:val="0"/>
                <w:sz w:val="24"/>
                <w:lang w:val="en-US" w:eastAsia="zh-CN" w:bidi="ar-AE"/>
              </w:rPr>
              <w:t>3</w:t>
            </w:r>
            <w:r>
              <w:rPr>
                <w:bCs/>
                <w:color w:val="000000"/>
                <w:kern w:val="0"/>
                <w:sz w:val="24"/>
                <w:lang w:bidi="ar-AE"/>
              </w:rPr>
              <w:t>月</w:t>
            </w:r>
            <w:r>
              <w:rPr>
                <w:rFonts w:hint="eastAsia"/>
                <w:bCs/>
                <w:color w:val="000000"/>
                <w:kern w:val="0"/>
                <w:sz w:val="24"/>
                <w:lang w:val="en-US" w:eastAsia="zh-CN" w:bidi="ar-AE"/>
              </w:rPr>
              <w:t>20</w:t>
            </w:r>
            <w:r>
              <w:rPr>
                <w:bCs/>
                <w:color w:val="000000"/>
                <w:kern w:val="0"/>
                <w:sz w:val="24"/>
                <w:lang w:bidi="ar-AE"/>
              </w:rPr>
              <w:t>日成立于</w:t>
            </w:r>
            <w:r>
              <w:rPr>
                <w:rFonts w:hint="eastAsia"/>
                <w:bCs/>
                <w:color w:val="000000"/>
                <w:kern w:val="0"/>
                <w:sz w:val="24"/>
                <w:lang w:bidi="ar-AE"/>
              </w:rPr>
              <w:t>北京市，</w:t>
            </w:r>
            <w:r>
              <w:rPr>
                <w:bCs/>
                <w:color w:val="000000"/>
                <w:kern w:val="0"/>
                <w:sz w:val="24"/>
                <w:lang w:bidi="ar-AE"/>
              </w:rPr>
              <w:t>主要</w:t>
            </w:r>
            <w:r>
              <w:rPr>
                <w:rFonts w:hint="eastAsia"/>
                <w:bCs/>
                <w:color w:val="000000"/>
                <w:kern w:val="0"/>
                <w:sz w:val="24"/>
                <w:lang w:bidi="ar-AE"/>
              </w:rPr>
              <w:t>从事</w:t>
            </w:r>
            <w:r>
              <w:rPr>
                <w:rFonts w:hint="eastAsia"/>
                <w:bCs/>
                <w:color w:val="000000"/>
                <w:kern w:val="0"/>
                <w:sz w:val="24"/>
                <w:lang w:val="en-US" w:eastAsia="zh-CN" w:bidi="ar-AE"/>
              </w:rPr>
              <w:t>综合能源服务</w:t>
            </w:r>
            <w:r>
              <w:rPr>
                <w:rFonts w:hint="eastAsia"/>
                <w:bCs/>
                <w:color w:val="000000"/>
                <w:kern w:val="0"/>
                <w:sz w:val="24"/>
                <w:lang w:bidi="ar-AE"/>
              </w:rPr>
              <w:t>。</w:t>
            </w:r>
          </w:p>
          <w:p w14:paraId="31987A8B">
            <w:pPr>
              <w:widowControl/>
              <w:adjustRightInd w:val="0"/>
              <w:snapToGrid w:val="0"/>
              <w:rPr>
                <w:bCs/>
                <w:color w:val="000000"/>
                <w:kern w:val="0"/>
                <w:sz w:val="24"/>
                <w:lang w:val="en-GB" w:bidi="ar-AE"/>
              </w:rPr>
            </w:pPr>
            <w:r>
              <w:rPr>
                <w:rFonts w:hint="eastAsia"/>
                <w:bCs/>
                <w:color w:val="000000"/>
                <w:kern w:val="0"/>
                <w:sz w:val="24"/>
                <w:lang w:val="en-US" w:eastAsia="zh-CN" w:bidi="ar-AE"/>
              </w:rPr>
              <w:t>新奥新能</w:t>
            </w:r>
            <w:r>
              <w:rPr>
                <w:rFonts w:hint="eastAsia"/>
                <w:bCs/>
                <w:color w:val="000000"/>
                <w:kern w:val="0"/>
                <w:sz w:val="24"/>
                <w:lang w:bidi="ar-AE"/>
              </w:rPr>
              <w:t>最终控制人为自然人，主要通过控股企业从事涵盖城市燃气运营、天然气全球供应链、泛能服务在内的清洁能源生态，以及涵盖智能家、智能游、健康服务在内的品质生活生态业务</w:t>
            </w:r>
            <w:r>
              <w:rPr>
                <w:bCs/>
                <w:color w:val="000000"/>
                <w:kern w:val="0"/>
                <w:sz w:val="24"/>
                <w:lang w:bidi="ar-AE"/>
              </w:rPr>
              <w:t>。</w:t>
            </w:r>
          </w:p>
        </w:tc>
      </w:tr>
      <w:tr w14:paraId="73227D80">
        <w:trPr>
          <w:trHeight w:val="279" w:hRule="atLeast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 w14:paraId="7C4D536E">
            <w:pPr>
              <w:pStyle w:val="5"/>
              <w:widowControl/>
              <w:adjustRightInd w:val="0"/>
              <w:snapToGrid w:val="0"/>
              <w:spacing w:after="0"/>
              <w:rPr>
                <w:bCs/>
                <w:color w:val="000000"/>
                <w:kern w:val="0"/>
                <w:sz w:val="24"/>
              </w:rPr>
            </w:pPr>
            <w:r>
              <w:rPr>
                <w:bCs/>
                <w:color w:val="000000"/>
                <w:kern w:val="0"/>
                <w:sz w:val="24"/>
                <w:lang w:val="en-GB"/>
              </w:rPr>
              <w:t>简易案件理由（可以单选，也可以多选）</w:t>
            </w:r>
          </w:p>
        </w:tc>
        <w:tc>
          <w:tcPr>
            <w:tcW w:w="7700" w:type="dxa"/>
            <w:gridSpan w:val="2"/>
            <w:vAlign w:val="center"/>
          </w:tcPr>
          <w:p w14:paraId="3D86B034">
            <w:pPr>
              <w:pStyle w:val="5"/>
              <w:widowControl/>
              <w:adjustRightInd w:val="0"/>
              <w:snapToGrid w:val="0"/>
              <w:spacing w:after="0"/>
              <w:rPr>
                <w:bCs/>
                <w:color w:val="000000"/>
                <w:kern w:val="0"/>
                <w:sz w:val="24"/>
                <w:lang w:bidi="ar-AE"/>
              </w:rPr>
            </w:pPr>
            <w:r>
              <w:rPr>
                <w:bCs/>
                <w:color w:val="000000"/>
                <w:kern w:val="0"/>
                <w:sz w:val="24"/>
                <w:lang w:val="en-GB" w:bidi="ar-AE"/>
              </w:rPr>
              <w:sym w:font="Wingdings" w:char="00FE"/>
            </w:r>
            <w:r>
              <w:rPr>
                <w:bCs/>
                <w:color w:val="000000"/>
                <w:kern w:val="0"/>
                <w:sz w:val="24"/>
                <w:lang w:val="en-GB" w:bidi="ar-AE"/>
              </w:rPr>
              <w:t xml:space="preserve"> 1</w:t>
            </w:r>
            <w:r>
              <w:rPr>
                <w:bCs/>
                <w:color w:val="000000"/>
                <w:kern w:val="0"/>
                <w:sz w:val="24"/>
                <w:lang w:bidi="ar-AE"/>
              </w:rPr>
              <w:t>.</w:t>
            </w:r>
            <w:r>
              <w:rPr>
                <w:bCs/>
                <w:color w:val="000000"/>
                <w:kern w:val="0"/>
                <w:sz w:val="24"/>
                <w:lang w:val="en-GB" w:bidi="ar-AE"/>
              </w:rPr>
              <w:t>在同一相关市场，参与集中的经营者所占的市场份额之和小于15%。</w:t>
            </w:r>
          </w:p>
        </w:tc>
      </w:tr>
      <w:tr w14:paraId="75C41C64">
        <w:trPr>
          <w:trHeight w:val="330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 w14:paraId="0D3583B3">
            <w:pPr>
              <w:pStyle w:val="5"/>
              <w:widowControl/>
              <w:adjustRightInd w:val="0"/>
              <w:snapToGrid w:val="0"/>
              <w:spacing w:after="0"/>
              <w:rPr>
                <w:bCs/>
                <w:color w:val="000000"/>
                <w:kern w:val="0"/>
                <w:sz w:val="24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590A2897">
            <w:pPr>
              <w:pStyle w:val="5"/>
              <w:widowControl/>
              <w:adjustRightInd w:val="0"/>
              <w:snapToGrid w:val="0"/>
              <w:spacing w:after="0"/>
              <w:rPr>
                <w:bCs/>
                <w:color w:val="000000"/>
                <w:kern w:val="0"/>
                <w:sz w:val="24"/>
                <w:lang w:bidi="ar-AE"/>
              </w:rPr>
            </w:pPr>
            <w:r>
              <w:rPr>
                <w:bCs/>
                <w:color w:val="000000"/>
                <w:kern w:val="0"/>
                <w:sz w:val="24"/>
                <w:lang w:val="en-GB" w:bidi="ar-AE"/>
              </w:rPr>
              <w:sym w:font="Wingdings" w:char="00A8"/>
            </w:r>
            <w:r>
              <w:rPr>
                <w:bCs/>
                <w:color w:val="000000"/>
                <w:kern w:val="0"/>
                <w:sz w:val="24"/>
                <w:lang w:val="en-GB" w:bidi="ar-AE"/>
              </w:rPr>
              <w:t xml:space="preserve"> 2</w:t>
            </w:r>
            <w:r>
              <w:rPr>
                <w:bCs/>
                <w:color w:val="000000"/>
                <w:kern w:val="0"/>
                <w:sz w:val="24"/>
                <w:lang w:bidi="ar-AE"/>
              </w:rPr>
              <w:t>.</w:t>
            </w:r>
            <w:r>
              <w:rPr>
                <w:bCs/>
                <w:color w:val="000000"/>
                <w:kern w:val="0"/>
                <w:sz w:val="24"/>
                <w:lang w:val="en-GB" w:bidi="ar-AE"/>
              </w:rPr>
              <w:t>在上下游市场，参与集中的经营者所占的市场份额均小于25%。</w:t>
            </w:r>
          </w:p>
        </w:tc>
      </w:tr>
      <w:tr w14:paraId="4114AE92">
        <w:trPr>
          <w:trHeight w:val="285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 w14:paraId="7F822BF9">
            <w:pPr>
              <w:pStyle w:val="5"/>
              <w:widowControl/>
              <w:adjustRightInd w:val="0"/>
              <w:snapToGrid w:val="0"/>
              <w:spacing w:after="0"/>
              <w:rPr>
                <w:bCs/>
                <w:color w:val="000000"/>
                <w:kern w:val="0"/>
                <w:sz w:val="24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3FDDF534">
            <w:pPr>
              <w:pStyle w:val="5"/>
              <w:widowControl/>
              <w:adjustRightInd w:val="0"/>
              <w:snapToGrid w:val="0"/>
              <w:spacing w:after="0"/>
              <w:rPr>
                <w:bCs/>
                <w:color w:val="000000"/>
                <w:kern w:val="0"/>
                <w:sz w:val="24"/>
                <w:lang w:bidi="ar-AE"/>
              </w:rPr>
            </w:pPr>
            <w:r>
              <w:rPr>
                <w:bCs/>
                <w:color w:val="000000"/>
                <w:kern w:val="0"/>
                <w:sz w:val="24"/>
                <w:lang w:val="en-GB" w:bidi="ar-AE"/>
              </w:rPr>
              <w:sym w:font="Wingdings" w:char="00A8"/>
            </w:r>
            <w:r>
              <w:rPr>
                <w:bCs/>
                <w:color w:val="000000"/>
                <w:kern w:val="0"/>
                <w:sz w:val="24"/>
                <w:lang w:val="en-GB" w:bidi="ar-AE"/>
              </w:rPr>
              <w:t xml:space="preserve"> 3</w:t>
            </w:r>
            <w:r>
              <w:rPr>
                <w:bCs/>
                <w:color w:val="000000"/>
                <w:kern w:val="0"/>
                <w:sz w:val="24"/>
                <w:lang w:bidi="ar-AE"/>
              </w:rPr>
              <w:t>.</w:t>
            </w:r>
            <w:r>
              <w:rPr>
                <w:bCs/>
                <w:color w:val="000000"/>
                <w:kern w:val="0"/>
                <w:sz w:val="24"/>
                <w:lang w:val="en-GB" w:bidi="ar-AE"/>
              </w:rPr>
              <w:t>不在同一相关市场也不存在上下游关系的参与集中的经营者，在与交易有关的每个市场所占的市场份额均小于25%。</w:t>
            </w:r>
          </w:p>
        </w:tc>
      </w:tr>
      <w:tr w14:paraId="1F5C882E">
        <w:trPr>
          <w:trHeight w:val="870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 w14:paraId="5179F958">
            <w:pPr>
              <w:pStyle w:val="5"/>
              <w:widowControl/>
              <w:adjustRightInd w:val="0"/>
              <w:snapToGrid w:val="0"/>
              <w:spacing w:after="0"/>
              <w:rPr>
                <w:bCs/>
                <w:color w:val="000000"/>
                <w:kern w:val="0"/>
                <w:sz w:val="24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4F5F8ACC">
            <w:pPr>
              <w:widowControl/>
              <w:adjustRightInd w:val="0"/>
              <w:snapToGrid w:val="0"/>
              <w:rPr>
                <w:bCs/>
                <w:color w:val="000000"/>
                <w:kern w:val="0"/>
                <w:sz w:val="24"/>
                <w:lang w:bidi="ar-AE"/>
              </w:rPr>
            </w:pPr>
            <w:r>
              <w:rPr>
                <w:bCs/>
                <w:color w:val="000000"/>
                <w:kern w:val="0"/>
                <w:sz w:val="24"/>
                <w:lang w:val="en-GB" w:bidi="ar-AE"/>
              </w:rPr>
              <w:sym w:font="Wingdings" w:char="00A8"/>
            </w:r>
            <w:r>
              <w:rPr>
                <w:bCs/>
                <w:color w:val="000000"/>
                <w:kern w:val="0"/>
                <w:sz w:val="24"/>
                <w:lang w:val="en-GB" w:bidi="ar-AE"/>
              </w:rPr>
              <w:t xml:space="preserve"> 4</w:t>
            </w:r>
            <w:r>
              <w:rPr>
                <w:bCs/>
                <w:color w:val="000000"/>
                <w:kern w:val="0"/>
                <w:sz w:val="24"/>
                <w:lang w:bidi="ar-AE"/>
              </w:rPr>
              <w:t>.</w:t>
            </w:r>
            <w:r>
              <w:rPr>
                <w:bCs/>
                <w:color w:val="000000"/>
                <w:kern w:val="0"/>
                <w:sz w:val="24"/>
                <w:lang w:val="en-GB" w:bidi="ar-AE"/>
              </w:rPr>
              <w:t>参与集中的经营者在中国境外设立合营企业，合营企业不在中国境内从事经济活动。</w:t>
            </w:r>
          </w:p>
        </w:tc>
      </w:tr>
      <w:tr w14:paraId="2736B9BC">
        <w:trPr>
          <w:trHeight w:val="264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 w14:paraId="3BE11EE8">
            <w:pPr>
              <w:pStyle w:val="5"/>
              <w:widowControl/>
              <w:adjustRightInd w:val="0"/>
              <w:snapToGrid w:val="0"/>
              <w:spacing w:after="0"/>
              <w:rPr>
                <w:bCs/>
                <w:color w:val="000000"/>
                <w:kern w:val="0"/>
                <w:sz w:val="24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466B8E16">
            <w:pPr>
              <w:pStyle w:val="5"/>
              <w:widowControl/>
              <w:adjustRightInd w:val="0"/>
              <w:snapToGrid w:val="0"/>
              <w:spacing w:after="0"/>
              <w:rPr>
                <w:bCs/>
                <w:color w:val="000000"/>
                <w:kern w:val="0"/>
                <w:sz w:val="24"/>
                <w:lang w:bidi="ar-AE"/>
              </w:rPr>
            </w:pPr>
            <w:r>
              <w:rPr>
                <w:bCs/>
                <w:color w:val="000000"/>
                <w:kern w:val="0"/>
                <w:sz w:val="24"/>
                <w:lang w:val="en-GB" w:bidi="ar-AE"/>
              </w:rPr>
              <w:sym w:font="Wingdings" w:char="00A8"/>
            </w:r>
            <w:r>
              <w:rPr>
                <w:bCs/>
                <w:color w:val="000000"/>
                <w:kern w:val="0"/>
                <w:sz w:val="24"/>
                <w:lang w:val="en-GB" w:bidi="ar-AE"/>
              </w:rPr>
              <w:t xml:space="preserve"> 5</w:t>
            </w:r>
            <w:r>
              <w:rPr>
                <w:bCs/>
                <w:color w:val="000000"/>
                <w:kern w:val="0"/>
                <w:sz w:val="24"/>
                <w:lang w:bidi="ar-AE"/>
              </w:rPr>
              <w:t>.</w:t>
            </w:r>
            <w:r>
              <w:rPr>
                <w:bCs/>
                <w:color w:val="000000"/>
                <w:kern w:val="0"/>
                <w:sz w:val="24"/>
                <w:lang w:val="en-GB" w:bidi="ar-AE"/>
              </w:rPr>
              <w:t>参与集中的经营者收购境外企业股权或资产的，该境外企业不在中国境内从事经济活动。</w:t>
            </w:r>
          </w:p>
        </w:tc>
      </w:tr>
      <w:tr w14:paraId="4D338928">
        <w:trPr>
          <w:trHeight w:val="345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 w14:paraId="79802FAB">
            <w:pPr>
              <w:pStyle w:val="5"/>
              <w:widowControl/>
              <w:adjustRightInd w:val="0"/>
              <w:snapToGrid w:val="0"/>
              <w:spacing w:after="0"/>
              <w:rPr>
                <w:bCs/>
                <w:color w:val="000000"/>
                <w:kern w:val="0"/>
                <w:sz w:val="24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45B1B32C">
            <w:pPr>
              <w:pStyle w:val="5"/>
              <w:widowControl/>
              <w:adjustRightInd w:val="0"/>
              <w:snapToGrid w:val="0"/>
              <w:spacing w:after="0"/>
              <w:rPr>
                <w:bCs/>
                <w:color w:val="000000"/>
                <w:kern w:val="0"/>
                <w:sz w:val="24"/>
                <w:lang w:bidi="ar-AE"/>
              </w:rPr>
            </w:pPr>
            <w:r>
              <w:rPr>
                <w:bCs/>
                <w:color w:val="000000"/>
                <w:kern w:val="0"/>
                <w:sz w:val="24"/>
                <w:lang w:val="en-GB" w:bidi="ar-AE"/>
              </w:rPr>
              <w:sym w:font="Wingdings" w:char="00A8"/>
            </w:r>
            <w:r>
              <w:rPr>
                <w:bCs/>
                <w:color w:val="000000"/>
                <w:kern w:val="0"/>
                <w:sz w:val="24"/>
                <w:lang w:val="en-GB" w:bidi="ar-AE"/>
              </w:rPr>
              <w:t xml:space="preserve"> 6</w:t>
            </w:r>
            <w:r>
              <w:rPr>
                <w:bCs/>
                <w:color w:val="000000"/>
                <w:kern w:val="0"/>
                <w:sz w:val="24"/>
                <w:lang w:bidi="ar-AE"/>
              </w:rPr>
              <w:t>.</w:t>
            </w:r>
            <w:r>
              <w:rPr>
                <w:bCs/>
                <w:color w:val="000000"/>
                <w:kern w:val="0"/>
                <w:sz w:val="24"/>
                <w:lang w:val="en-GB" w:bidi="ar-AE"/>
              </w:rPr>
              <w:t>由两个以上的经营者共同控制的合营企业，通过集中被其中一个或一个以上经营者控制。</w:t>
            </w:r>
          </w:p>
        </w:tc>
      </w:tr>
      <w:tr w14:paraId="0F23C57E">
        <w:trPr>
          <w:trHeight w:val="1250" w:hRule="atLeast"/>
        </w:trPr>
        <w:tc>
          <w:tcPr>
            <w:tcW w:w="1940" w:type="dxa"/>
            <w:shd w:val="clear" w:color="auto" w:fill="D9D9D9"/>
            <w:vAlign w:val="center"/>
          </w:tcPr>
          <w:p w14:paraId="4D21AC21">
            <w:pPr>
              <w:pStyle w:val="5"/>
              <w:widowControl/>
              <w:adjustRightInd w:val="0"/>
              <w:snapToGrid w:val="0"/>
              <w:spacing w:after="0"/>
              <w:rPr>
                <w:bCs/>
                <w:color w:val="000000"/>
                <w:kern w:val="0"/>
                <w:sz w:val="24"/>
              </w:rPr>
            </w:pPr>
            <w:r>
              <w:rPr>
                <w:bCs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7700" w:type="dxa"/>
            <w:gridSpan w:val="2"/>
            <w:vAlign w:val="center"/>
          </w:tcPr>
          <w:p w14:paraId="1FD55DB5">
            <w:pPr>
              <w:pStyle w:val="5"/>
              <w:widowControl/>
              <w:adjustRightInd w:val="0"/>
              <w:snapToGrid w:val="0"/>
              <w:spacing w:after="0"/>
              <w:rPr>
                <w:b/>
                <w:color w:val="000000"/>
                <w:kern w:val="0"/>
                <w:sz w:val="24"/>
                <w:lang w:val="en-GB" w:bidi="ar-AE"/>
              </w:rPr>
            </w:pPr>
            <w:r>
              <w:rPr>
                <w:rFonts w:hint="eastAsia"/>
                <w:b/>
                <w:color w:val="000000"/>
                <w:kern w:val="0"/>
                <w:sz w:val="24"/>
                <w:lang w:val="en-US" w:eastAsia="zh-CN" w:bidi="ar-AE"/>
              </w:rPr>
              <w:t>横向重叠</w:t>
            </w:r>
            <w:r>
              <w:rPr>
                <w:b/>
                <w:color w:val="000000"/>
                <w:kern w:val="0"/>
                <w:sz w:val="24"/>
                <w:lang w:val="en-GB" w:bidi="ar-AE"/>
              </w:rPr>
              <w:t>：</w:t>
            </w:r>
          </w:p>
          <w:tbl>
            <w:tblPr>
              <w:tblStyle w:val="13"/>
              <w:tblW w:w="7484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494"/>
              <w:gridCol w:w="2495"/>
              <w:gridCol w:w="2495"/>
            </w:tblGrid>
            <w:tr w14:paraId="414FE686">
              <w:trPr>
                <w:trHeight w:val="291" w:hRule="atLeast"/>
              </w:trPr>
              <w:tc>
                <w:tcPr>
                  <w:tcW w:w="2494" w:type="dxa"/>
                </w:tcPr>
                <w:p w14:paraId="5778BBEC">
                  <w:pPr>
                    <w:pStyle w:val="5"/>
                    <w:widowControl/>
                    <w:adjustRightInd w:val="0"/>
                    <w:snapToGrid w:val="0"/>
                    <w:spacing w:after="0"/>
                    <w:rPr>
                      <w:bCs/>
                      <w:color w:val="000000"/>
                      <w:kern w:val="0"/>
                      <w:sz w:val="24"/>
                      <w:lang w:bidi="ar-AE"/>
                    </w:rPr>
                  </w:pPr>
                  <w:r>
                    <w:rPr>
                      <w:rFonts w:hint="eastAsia"/>
                      <w:bCs/>
                      <w:color w:val="000000"/>
                      <w:kern w:val="0"/>
                      <w:sz w:val="24"/>
                      <w:lang w:bidi="ar-AE"/>
                    </w:rPr>
                    <w:t>相关商品市场</w:t>
                  </w:r>
                </w:p>
              </w:tc>
              <w:tc>
                <w:tcPr>
                  <w:tcW w:w="2495" w:type="dxa"/>
                </w:tcPr>
                <w:p w14:paraId="4DCE3E66">
                  <w:pPr>
                    <w:pStyle w:val="5"/>
                    <w:widowControl/>
                    <w:adjustRightInd w:val="0"/>
                    <w:snapToGrid w:val="0"/>
                    <w:spacing w:after="0"/>
                    <w:rPr>
                      <w:bCs/>
                      <w:color w:val="000000"/>
                      <w:kern w:val="0"/>
                      <w:sz w:val="24"/>
                      <w:lang w:bidi="ar-AE"/>
                    </w:rPr>
                  </w:pPr>
                  <w:r>
                    <w:rPr>
                      <w:rFonts w:hint="eastAsia"/>
                      <w:bCs/>
                      <w:color w:val="000000"/>
                      <w:kern w:val="0"/>
                      <w:sz w:val="24"/>
                      <w:lang w:bidi="ar-AE"/>
                    </w:rPr>
                    <w:t>相关地域市场</w:t>
                  </w:r>
                </w:p>
              </w:tc>
              <w:tc>
                <w:tcPr>
                  <w:tcW w:w="2495" w:type="dxa"/>
                </w:tcPr>
                <w:p w14:paraId="7C3CBDF2">
                  <w:pPr>
                    <w:pStyle w:val="5"/>
                    <w:widowControl/>
                    <w:adjustRightInd w:val="0"/>
                    <w:snapToGrid w:val="0"/>
                    <w:spacing w:after="0"/>
                    <w:rPr>
                      <w:bCs/>
                      <w:color w:val="000000"/>
                      <w:kern w:val="0"/>
                      <w:sz w:val="24"/>
                      <w:lang w:bidi="ar-AE"/>
                    </w:rPr>
                  </w:pPr>
                  <w:r>
                    <w:rPr>
                      <w:rFonts w:hint="eastAsia"/>
                      <w:bCs/>
                      <w:color w:val="000000"/>
                      <w:kern w:val="0"/>
                      <w:sz w:val="24"/>
                      <w:lang w:bidi="ar-AE"/>
                    </w:rPr>
                    <w:t>202</w:t>
                  </w:r>
                  <w:r>
                    <w:rPr>
                      <w:rFonts w:hint="eastAsia"/>
                      <w:bCs/>
                      <w:color w:val="000000"/>
                      <w:kern w:val="0"/>
                      <w:sz w:val="24"/>
                      <w:lang w:val="en-US" w:eastAsia="zh-CN" w:bidi="ar-AE"/>
                    </w:rPr>
                    <w:t>4</w:t>
                  </w:r>
                  <w:r>
                    <w:rPr>
                      <w:rFonts w:hint="eastAsia"/>
                      <w:bCs/>
                      <w:color w:val="000000"/>
                      <w:kern w:val="0"/>
                      <w:sz w:val="24"/>
                      <w:lang w:bidi="ar-AE"/>
                    </w:rPr>
                    <w:t>年市场份额</w:t>
                  </w:r>
                </w:p>
              </w:tc>
            </w:tr>
            <w:tr w14:paraId="59BE3DEB">
              <w:tc>
                <w:tcPr>
                  <w:tcW w:w="2494" w:type="dxa"/>
                </w:tcPr>
                <w:p w14:paraId="314B7507">
                  <w:pPr>
                    <w:pStyle w:val="5"/>
                    <w:widowControl/>
                    <w:adjustRightInd w:val="0"/>
                    <w:snapToGrid w:val="0"/>
                    <w:spacing w:after="0"/>
                    <w:rPr>
                      <w:rFonts w:hint="default" w:eastAsia="宋体"/>
                      <w:bCs/>
                      <w:color w:val="000000"/>
                      <w:kern w:val="0"/>
                      <w:sz w:val="24"/>
                      <w:lang w:val="en-US" w:eastAsia="zh-CN" w:bidi="ar-AE"/>
                    </w:rPr>
                  </w:pPr>
                  <w:r>
                    <w:rPr>
                      <w:rFonts w:hint="eastAsia"/>
                      <w:bCs/>
                      <w:color w:val="000000"/>
                      <w:kern w:val="0"/>
                      <w:sz w:val="24"/>
                      <w:lang w:val="en-US" w:eastAsia="zh-CN" w:bidi="ar-AE"/>
                    </w:rPr>
                    <w:t>综合能源服务</w:t>
                  </w:r>
                </w:p>
              </w:tc>
              <w:tc>
                <w:tcPr>
                  <w:tcW w:w="2495" w:type="dxa"/>
                </w:tcPr>
                <w:p w14:paraId="36D558EC">
                  <w:pPr>
                    <w:pStyle w:val="5"/>
                    <w:widowControl/>
                    <w:adjustRightInd w:val="0"/>
                    <w:snapToGrid w:val="0"/>
                    <w:spacing w:after="0"/>
                    <w:rPr>
                      <w:bCs/>
                      <w:color w:val="000000"/>
                      <w:kern w:val="0"/>
                      <w:sz w:val="24"/>
                      <w:lang w:bidi="ar-AE"/>
                    </w:rPr>
                  </w:pPr>
                  <w:r>
                    <w:rPr>
                      <w:rFonts w:hint="eastAsia"/>
                      <w:bCs/>
                      <w:color w:val="000000"/>
                      <w:kern w:val="0"/>
                      <w:sz w:val="24"/>
                      <w:lang w:bidi="ar-AE"/>
                    </w:rPr>
                    <w:t>中国境内</w:t>
                  </w:r>
                </w:p>
              </w:tc>
              <w:tc>
                <w:tcPr>
                  <w:tcW w:w="2495" w:type="dxa"/>
                </w:tcPr>
                <w:p w14:paraId="31C1253C">
                  <w:pPr>
                    <w:pStyle w:val="5"/>
                    <w:widowControl/>
                    <w:adjustRightInd w:val="0"/>
                    <w:snapToGrid w:val="0"/>
                    <w:spacing w:after="0"/>
                    <w:rPr>
                      <w:rFonts w:hint="eastAsia"/>
                      <w:bCs/>
                      <w:color w:val="000000"/>
                      <w:kern w:val="0"/>
                      <w:sz w:val="24"/>
                      <w:highlight w:val="none"/>
                      <w:lang w:bidi="ar-AE"/>
                    </w:rPr>
                  </w:pPr>
                  <w:r>
                    <w:rPr>
                      <w:rFonts w:hint="eastAsia"/>
                      <w:bCs/>
                      <w:color w:val="000000"/>
                      <w:kern w:val="0"/>
                      <w:sz w:val="24"/>
                      <w:lang w:val="en-US" w:eastAsia="zh-CN" w:bidi="ar-AE"/>
                    </w:rPr>
                    <w:t>北燃能</w:t>
                  </w:r>
                  <w:r>
                    <w:rPr>
                      <w:rFonts w:hint="eastAsia"/>
                      <w:bCs/>
                      <w:color w:val="000000"/>
                      <w:kern w:val="0"/>
                      <w:sz w:val="24"/>
                      <w:highlight w:val="none"/>
                      <w:lang w:val="en-US" w:eastAsia="zh-CN" w:bidi="ar-AE"/>
                    </w:rPr>
                    <w:t>源</w:t>
                  </w:r>
                  <w:r>
                    <w:rPr>
                      <w:rFonts w:hint="eastAsia"/>
                      <w:bCs/>
                      <w:color w:val="000000"/>
                      <w:kern w:val="0"/>
                      <w:sz w:val="24"/>
                      <w:highlight w:val="none"/>
                      <w:lang w:bidi="ar-AE"/>
                    </w:rPr>
                    <w:t>：0-5%</w:t>
                  </w:r>
                </w:p>
                <w:p w14:paraId="7BAA83DB">
                  <w:pPr>
                    <w:pStyle w:val="5"/>
                    <w:widowControl/>
                    <w:adjustRightInd w:val="0"/>
                    <w:snapToGrid w:val="0"/>
                    <w:spacing w:after="0"/>
                    <w:rPr>
                      <w:rFonts w:hint="eastAsia"/>
                      <w:bCs/>
                      <w:color w:val="000000"/>
                      <w:kern w:val="0"/>
                      <w:sz w:val="24"/>
                      <w:highlight w:val="none"/>
                      <w:lang w:val="en-US" w:eastAsia="zh-CN" w:bidi="ar-AE"/>
                    </w:rPr>
                  </w:pPr>
                  <w:r>
                    <w:rPr>
                      <w:rFonts w:hint="eastAsia"/>
                      <w:bCs/>
                      <w:color w:val="000000"/>
                      <w:kern w:val="0"/>
                      <w:sz w:val="24"/>
                      <w:highlight w:val="none"/>
                      <w:lang w:val="en-US" w:eastAsia="zh-CN" w:bidi="ar-AE"/>
                    </w:rPr>
                    <w:t>新奥新能：0-5%</w:t>
                  </w:r>
                </w:p>
                <w:p w14:paraId="3EABB24F">
                  <w:pPr>
                    <w:pStyle w:val="5"/>
                    <w:widowControl/>
                    <w:adjustRightInd w:val="0"/>
                    <w:snapToGrid w:val="0"/>
                    <w:spacing w:after="0"/>
                    <w:rPr>
                      <w:rFonts w:hint="default"/>
                      <w:bCs/>
                      <w:color w:val="000000"/>
                      <w:kern w:val="0"/>
                      <w:sz w:val="24"/>
                      <w:highlight w:val="cyan"/>
                      <w:lang w:val="en-US" w:eastAsia="zh-CN" w:bidi="ar-AE"/>
                    </w:rPr>
                  </w:pPr>
                  <w:r>
                    <w:rPr>
                      <w:rFonts w:hint="eastAsia"/>
                      <w:bCs/>
                      <w:color w:val="000000"/>
                      <w:kern w:val="0"/>
                      <w:sz w:val="24"/>
                      <w:highlight w:val="none"/>
                      <w:lang w:val="en-US" w:eastAsia="zh-CN" w:bidi="ar-AE"/>
                    </w:rPr>
                    <w:t>合计：0-5%</w:t>
                  </w:r>
                </w:p>
              </w:tc>
            </w:tr>
          </w:tbl>
          <w:p w14:paraId="725A5961">
            <w:pPr>
              <w:pStyle w:val="5"/>
              <w:widowControl/>
              <w:adjustRightInd w:val="0"/>
              <w:snapToGrid w:val="0"/>
              <w:spacing w:after="0"/>
              <w:rPr>
                <w:bCs/>
                <w:color w:val="000000"/>
                <w:kern w:val="0"/>
                <w:sz w:val="24"/>
                <w:lang w:bidi="ar-AE"/>
              </w:rPr>
            </w:pPr>
          </w:p>
        </w:tc>
      </w:tr>
    </w:tbl>
    <w:p w14:paraId="6A5C31F0">
      <w:pPr>
        <w:adjustRightInd w:val="0"/>
        <w:snapToGrid w:val="0"/>
        <w:rPr>
          <w:rFonts w:eastAsiaTheme="minorEastAsia"/>
        </w:rPr>
      </w:pPr>
    </w:p>
    <w:p w14:paraId="6DF4A2BF">
      <w:pPr>
        <w:rPr>
          <w:rFonts w:eastAsiaTheme="minorEastAsi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altName w:val="汉仪书宋二KW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Simplified Arabic">
    <w:altName w:val="Thonburi"/>
    <w:panose1 w:val="00000000000000000000"/>
    <w:charset w:val="B2"/>
    <w:family w:val="roman"/>
    <w:pitch w:val="default"/>
    <w:sig w:usb0="00000000" w:usb1="00000000" w:usb2="00000000" w:usb3="00000000" w:csb0="00000041" w:csb1="20080000"/>
  </w:font>
  <w:font w:name="楷体_GB2312">
    <w:altName w:val="汉仪楷体简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Thonburi">
    <w:panose1 w:val="00000400000000000000"/>
    <w:charset w:val="00"/>
    <w:family w:val="auto"/>
    <w:pitch w:val="default"/>
    <w:sig w:usb0="01000000" w:usb1="00000000" w:usb2="00000000" w:usb3="00000000" w:csb0="20000193" w:csb1="4D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1C8A19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270A69">
                          <w:pPr>
                            <w:pStyle w:val="7"/>
                            <w:rPr>
                              <w:rFonts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A270A69">
                    <w:pPr>
                      <w:pStyle w:val="7"/>
                      <w:rPr>
                        <w:rFonts w:asciiTheme="minorEastAsia" w:hAnsiTheme="minorEastAsia" w:eastAsiaTheme="minorEastAsia" w:cstheme="minorEastAsia"/>
                        <w:sz w:val="24"/>
                        <w:szCs w:val="2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mMTI0ODhhNzFmMGU3MTZhMTA0ODYxYzI1N2YwYjIifQ=="/>
  </w:docVars>
  <w:rsids>
    <w:rsidRoot w:val="511505E7"/>
    <w:rsid w:val="00042BDD"/>
    <w:rsid w:val="0007692D"/>
    <w:rsid w:val="00087338"/>
    <w:rsid w:val="00114814"/>
    <w:rsid w:val="001B50F2"/>
    <w:rsid w:val="001C6148"/>
    <w:rsid w:val="001F1C3C"/>
    <w:rsid w:val="0022179C"/>
    <w:rsid w:val="00221FCA"/>
    <w:rsid w:val="00244DF9"/>
    <w:rsid w:val="00284710"/>
    <w:rsid w:val="00332EAC"/>
    <w:rsid w:val="00346B84"/>
    <w:rsid w:val="00367A54"/>
    <w:rsid w:val="00477313"/>
    <w:rsid w:val="004C4C54"/>
    <w:rsid w:val="00500F51"/>
    <w:rsid w:val="00504BEC"/>
    <w:rsid w:val="00507863"/>
    <w:rsid w:val="005C4EFC"/>
    <w:rsid w:val="005E6606"/>
    <w:rsid w:val="00610351"/>
    <w:rsid w:val="0062408E"/>
    <w:rsid w:val="00627CE6"/>
    <w:rsid w:val="00646E32"/>
    <w:rsid w:val="006A20C6"/>
    <w:rsid w:val="006C3B44"/>
    <w:rsid w:val="00707821"/>
    <w:rsid w:val="0072474D"/>
    <w:rsid w:val="00734F51"/>
    <w:rsid w:val="007D63FA"/>
    <w:rsid w:val="007F706B"/>
    <w:rsid w:val="00816711"/>
    <w:rsid w:val="00826195"/>
    <w:rsid w:val="008472A3"/>
    <w:rsid w:val="00874CF2"/>
    <w:rsid w:val="00876497"/>
    <w:rsid w:val="008C1F1E"/>
    <w:rsid w:val="009040AD"/>
    <w:rsid w:val="00934D60"/>
    <w:rsid w:val="00A73286"/>
    <w:rsid w:val="00AE444B"/>
    <w:rsid w:val="00B45330"/>
    <w:rsid w:val="00B93533"/>
    <w:rsid w:val="00BC4863"/>
    <w:rsid w:val="00BD3FB4"/>
    <w:rsid w:val="00BE051D"/>
    <w:rsid w:val="00BF210F"/>
    <w:rsid w:val="00C046B3"/>
    <w:rsid w:val="00C41350"/>
    <w:rsid w:val="00D11F6E"/>
    <w:rsid w:val="00D14CED"/>
    <w:rsid w:val="00DB7A89"/>
    <w:rsid w:val="00E40607"/>
    <w:rsid w:val="00E4263C"/>
    <w:rsid w:val="00E466FD"/>
    <w:rsid w:val="00E86A10"/>
    <w:rsid w:val="00EC1C7F"/>
    <w:rsid w:val="00F3327D"/>
    <w:rsid w:val="00F63099"/>
    <w:rsid w:val="00F7053E"/>
    <w:rsid w:val="00F90810"/>
    <w:rsid w:val="00FD5EA5"/>
    <w:rsid w:val="00FF42DD"/>
    <w:rsid w:val="011DF4EB"/>
    <w:rsid w:val="01B165CE"/>
    <w:rsid w:val="0217304F"/>
    <w:rsid w:val="02515359"/>
    <w:rsid w:val="030806B1"/>
    <w:rsid w:val="03490091"/>
    <w:rsid w:val="03D70EC9"/>
    <w:rsid w:val="04B425C4"/>
    <w:rsid w:val="04B85AFF"/>
    <w:rsid w:val="05AB50DB"/>
    <w:rsid w:val="06075F29"/>
    <w:rsid w:val="072729B8"/>
    <w:rsid w:val="0733430F"/>
    <w:rsid w:val="07D6476B"/>
    <w:rsid w:val="087232C3"/>
    <w:rsid w:val="08900485"/>
    <w:rsid w:val="08D6542E"/>
    <w:rsid w:val="08ED34FD"/>
    <w:rsid w:val="093446A7"/>
    <w:rsid w:val="0ACA0236"/>
    <w:rsid w:val="0AF22185"/>
    <w:rsid w:val="0B1835C3"/>
    <w:rsid w:val="0B260413"/>
    <w:rsid w:val="0B536D2E"/>
    <w:rsid w:val="0B63273E"/>
    <w:rsid w:val="0BD91CE7"/>
    <w:rsid w:val="0C6B60D7"/>
    <w:rsid w:val="0DE526A7"/>
    <w:rsid w:val="0E5C7E9D"/>
    <w:rsid w:val="0E6A5FE8"/>
    <w:rsid w:val="0EEC791B"/>
    <w:rsid w:val="0F0C5B71"/>
    <w:rsid w:val="0F272A69"/>
    <w:rsid w:val="0FA436B7"/>
    <w:rsid w:val="0FBBC6D8"/>
    <w:rsid w:val="10C02711"/>
    <w:rsid w:val="12125FE7"/>
    <w:rsid w:val="12ED74AA"/>
    <w:rsid w:val="130B6D76"/>
    <w:rsid w:val="13236AF1"/>
    <w:rsid w:val="138A175B"/>
    <w:rsid w:val="13D6674E"/>
    <w:rsid w:val="150C1E94"/>
    <w:rsid w:val="15D0616B"/>
    <w:rsid w:val="15D94F21"/>
    <w:rsid w:val="15E47716"/>
    <w:rsid w:val="1638549E"/>
    <w:rsid w:val="166D15EC"/>
    <w:rsid w:val="1680064E"/>
    <w:rsid w:val="16862E65"/>
    <w:rsid w:val="170432DD"/>
    <w:rsid w:val="17436509"/>
    <w:rsid w:val="197930F7"/>
    <w:rsid w:val="1AA11230"/>
    <w:rsid w:val="1B2D6269"/>
    <w:rsid w:val="1BB455C7"/>
    <w:rsid w:val="1BDE0896"/>
    <w:rsid w:val="1BF9394B"/>
    <w:rsid w:val="1BF9AB71"/>
    <w:rsid w:val="1C142509"/>
    <w:rsid w:val="1C361957"/>
    <w:rsid w:val="1DA24124"/>
    <w:rsid w:val="1DFE30C6"/>
    <w:rsid w:val="1EBF675C"/>
    <w:rsid w:val="1FC81833"/>
    <w:rsid w:val="20C2797E"/>
    <w:rsid w:val="2107263D"/>
    <w:rsid w:val="215B059A"/>
    <w:rsid w:val="238E6718"/>
    <w:rsid w:val="24606B41"/>
    <w:rsid w:val="246736EB"/>
    <w:rsid w:val="24840815"/>
    <w:rsid w:val="25C17900"/>
    <w:rsid w:val="261144B9"/>
    <w:rsid w:val="26B77320"/>
    <w:rsid w:val="279572F8"/>
    <w:rsid w:val="27B435B3"/>
    <w:rsid w:val="27ED6C10"/>
    <w:rsid w:val="281C288D"/>
    <w:rsid w:val="289A6D28"/>
    <w:rsid w:val="2A8A2314"/>
    <w:rsid w:val="2B282291"/>
    <w:rsid w:val="2B795B9C"/>
    <w:rsid w:val="2C0C7CCC"/>
    <w:rsid w:val="2CAC25FF"/>
    <w:rsid w:val="2ECF569F"/>
    <w:rsid w:val="2F0902B7"/>
    <w:rsid w:val="2F776BDF"/>
    <w:rsid w:val="3025112D"/>
    <w:rsid w:val="31592A40"/>
    <w:rsid w:val="319E78FD"/>
    <w:rsid w:val="32380D79"/>
    <w:rsid w:val="33751688"/>
    <w:rsid w:val="339B1A7D"/>
    <w:rsid w:val="34527864"/>
    <w:rsid w:val="35243365"/>
    <w:rsid w:val="356065C1"/>
    <w:rsid w:val="35741F7B"/>
    <w:rsid w:val="35927D49"/>
    <w:rsid w:val="35A83952"/>
    <w:rsid w:val="363475D8"/>
    <w:rsid w:val="36647739"/>
    <w:rsid w:val="36722108"/>
    <w:rsid w:val="37736187"/>
    <w:rsid w:val="37AE5E43"/>
    <w:rsid w:val="37EC4B4C"/>
    <w:rsid w:val="3A773F37"/>
    <w:rsid w:val="3A7D25F4"/>
    <w:rsid w:val="3B6C128B"/>
    <w:rsid w:val="3BF42FA2"/>
    <w:rsid w:val="3C1B3849"/>
    <w:rsid w:val="3CF8328E"/>
    <w:rsid w:val="3DBE0E38"/>
    <w:rsid w:val="3DCF2C73"/>
    <w:rsid w:val="3E067AAC"/>
    <w:rsid w:val="3E3B322A"/>
    <w:rsid w:val="3EB7365E"/>
    <w:rsid w:val="3EBE2D3F"/>
    <w:rsid w:val="3ED7D01C"/>
    <w:rsid w:val="3EE73D98"/>
    <w:rsid w:val="3FFFF7A9"/>
    <w:rsid w:val="40D7777E"/>
    <w:rsid w:val="41D779C0"/>
    <w:rsid w:val="436E421B"/>
    <w:rsid w:val="43E353FE"/>
    <w:rsid w:val="45AD3F46"/>
    <w:rsid w:val="45E92E66"/>
    <w:rsid w:val="46845245"/>
    <w:rsid w:val="46F216C3"/>
    <w:rsid w:val="48567BBA"/>
    <w:rsid w:val="48604985"/>
    <w:rsid w:val="48C332AF"/>
    <w:rsid w:val="49857111"/>
    <w:rsid w:val="498A72A0"/>
    <w:rsid w:val="49DD6CEB"/>
    <w:rsid w:val="4A2B67A8"/>
    <w:rsid w:val="4A565917"/>
    <w:rsid w:val="4C824703"/>
    <w:rsid w:val="4CC01CF8"/>
    <w:rsid w:val="4CCA439B"/>
    <w:rsid w:val="4CFD75DE"/>
    <w:rsid w:val="4D533669"/>
    <w:rsid w:val="4D611881"/>
    <w:rsid w:val="4DB67BAD"/>
    <w:rsid w:val="4DBF710D"/>
    <w:rsid w:val="4DDB0C16"/>
    <w:rsid w:val="4E585190"/>
    <w:rsid w:val="4E626EA5"/>
    <w:rsid w:val="4F7D0643"/>
    <w:rsid w:val="502D711A"/>
    <w:rsid w:val="50BB4726"/>
    <w:rsid w:val="50CB3BDA"/>
    <w:rsid w:val="511505E7"/>
    <w:rsid w:val="51167BAE"/>
    <w:rsid w:val="5275657D"/>
    <w:rsid w:val="52B633F7"/>
    <w:rsid w:val="53192A7C"/>
    <w:rsid w:val="53701092"/>
    <w:rsid w:val="537471A6"/>
    <w:rsid w:val="53DE53F7"/>
    <w:rsid w:val="549363D0"/>
    <w:rsid w:val="54D26C3D"/>
    <w:rsid w:val="54DD7AC9"/>
    <w:rsid w:val="55413F6A"/>
    <w:rsid w:val="558A3AEC"/>
    <w:rsid w:val="55FF4F39"/>
    <w:rsid w:val="563C0C84"/>
    <w:rsid w:val="567C47AD"/>
    <w:rsid w:val="568C7EFA"/>
    <w:rsid w:val="5721053D"/>
    <w:rsid w:val="5A320350"/>
    <w:rsid w:val="5A4E1134"/>
    <w:rsid w:val="5A867B53"/>
    <w:rsid w:val="5A8F5421"/>
    <w:rsid w:val="5AB377AC"/>
    <w:rsid w:val="5ADB7A9F"/>
    <w:rsid w:val="5BDF7AA8"/>
    <w:rsid w:val="5CC770F3"/>
    <w:rsid w:val="5E606197"/>
    <w:rsid w:val="5E758AD3"/>
    <w:rsid w:val="5F221E14"/>
    <w:rsid w:val="5F5B3889"/>
    <w:rsid w:val="5F7404E1"/>
    <w:rsid w:val="5F7BBE1B"/>
    <w:rsid w:val="60B85CFA"/>
    <w:rsid w:val="61AC7C2D"/>
    <w:rsid w:val="61F32521"/>
    <w:rsid w:val="62D41677"/>
    <w:rsid w:val="63F6661D"/>
    <w:rsid w:val="64F94FB6"/>
    <w:rsid w:val="64FF0119"/>
    <w:rsid w:val="650C61D5"/>
    <w:rsid w:val="65183212"/>
    <w:rsid w:val="65AC0421"/>
    <w:rsid w:val="65C854C3"/>
    <w:rsid w:val="67090219"/>
    <w:rsid w:val="67332E10"/>
    <w:rsid w:val="6754015D"/>
    <w:rsid w:val="675B4115"/>
    <w:rsid w:val="67885F66"/>
    <w:rsid w:val="67D469E8"/>
    <w:rsid w:val="685D233B"/>
    <w:rsid w:val="69C0748D"/>
    <w:rsid w:val="69DF102E"/>
    <w:rsid w:val="6A7D30C3"/>
    <w:rsid w:val="6B9261CD"/>
    <w:rsid w:val="6B9A71CB"/>
    <w:rsid w:val="6BCB1BF4"/>
    <w:rsid w:val="6BCC0CB3"/>
    <w:rsid w:val="6C45316D"/>
    <w:rsid w:val="6CBF87B4"/>
    <w:rsid w:val="6DED96DF"/>
    <w:rsid w:val="6DEFBAE0"/>
    <w:rsid w:val="6E372E5F"/>
    <w:rsid w:val="6E786ABC"/>
    <w:rsid w:val="6EC32CCC"/>
    <w:rsid w:val="6FDF5799"/>
    <w:rsid w:val="710A7485"/>
    <w:rsid w:val="71394751"/>
    <w:rsid w:val="72131803"/>
    <w:rsid w:val="723024E6"/>
    <w:rsid w:val="73026B48"/>
    <w:rsid w:val="73EB335D"/>
    <w:rsid w:val="744A79EB"/>
    <w:rsid w:val="74566BED"/>
    <w:rsid w:val="74820F33"/>
    <w:rsid w:val="74CE550B"/>
    <w:rsid w:val="767FE0B3"/>
    <w:rsid w:val="76CA40F3"/>
    <w:rsid w:val="77527FDF"/>
    <w:rsid w:val="77FFCFC3"/>
    <w:rsid w:val="78410251"/>
    <w:rsid w:val="792F71B0"/>
    <w:rsid w:val="793FB7A1"/>
    <w:rsid w:val="795A6D23"/>
    <w:rsid w:val="7A742603"/>
    <w:rsid w:val="7A7E3148"/>
    <w:rsid w:val="7A9C06E1"/>
    <w:rsid w:val="7AB91678"/>
    <w:rsid w:val="7B8F578C"/>
    <w:rsid w:val="7B9A66EF"/>
    <w:rsid w:val="7BE411F0"/>
    <w:rsid w:val="7BFFD823"/>
    <w:rsid w:val="7C527E8B"/>
    <w:rsid w:val="7C7918BC"/>
    <w:rsid w:val="7D8E8A18"/>
    <w:rsid w:val="7E8D0C00"/>
    <w:rsid w:val="7EBDA18C"/>
    <w:rsid w:val="7EE72273"/>
    <w:rsid w:val="7EF7CDD2"/>
    <w:rsid w:val="7F7BEB9D"/>
    <w:rsid w:val="7FBF2495"/>
    <w:rsid w:val="7FDCAB43"/>
    <w:rsid w:val="7FE91E78"/>
    <w:rsid w:val="7FFDE69B"/>
    <w:rsid w:val="9CBD0B1A"/>
    <w:rsid w:val="9EF6604C"/>
    <w:rsid w:val="A7F9C1DE"/>
    <w:rsid w:val="B593FB7D"/>
    <w:rsid w:val="BCB7048F"/>
    <w:rsid w:val="BF8E36EE"/>
    <w:rsid w:val="BFDFB85E"/>
    <w:rsid w:val="BFF5AD43"/>
    <w:rsid w:val="BFF739EC"/>
    <w:rsid w:val="D7FFD2F4"/>
    <w:rsid w:val="DDEFBA43"/>
    <w:rsid w:val="DEAFB90F"/>
    <w:rsid w:val="DF21B821"/>
    <w:rsid w:val="DF7EF6E2"/>
    <w:rsid w:val="DFD76A11"/>
    <w:rsid w:val="E9F71F09"/>
    <w:rsid w:val="EAFD8D58"/>
    <w:rsid w:val="EB6C770B"/>
    <w:rsid w:val="EBCD181E"/>
    <w:rsid w:val="EF7C48A7"/>
    <w:rsid w:val="EFFFDD70"/>
    <w:rsid w:val="F1B778F1"/>
    <w:rsid w:val="F3FF743F"/>
    <w:rsid w:val="F4FF55F7"/>
    <w:rsid w:val="F7FD911C"/>
    <w:rsid w:val="F9DF2CA6"/>
    <w:rsid w:val="FB3326CC"/>
    <w:rsid w:val="FBCE4D19"/>
    <w:rsid w:val="FDBF10AA"/>
    <w:rsid w:val="FF6B92DC"/>
    <w:rsid w:val="FFBC3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after="156" w:afterLines="50" w:line="640" w:lineRule="exact"/>
      <w:outlineLvl w:val="0"/>
    </w:pPr>
    <w:rPr>
      <w:rFonts w:ascii="方正小标宋简体" w:eastAsia="方正小标宋简体"/>
      <w:sz w:val="44"/>
      <w:szCs w:val="36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99"/>
  </w:style>
  <w:style w:type="paragraph" w:styleId="4">
    <w:name w:val="annotation text"/>
    <w:basedOn w:val="1"/>
    <w:link w:val="27"/>
    <w:qFormat/>
    <w:uiPriority w:val="0"/>
    <w:pPr>
      <w:jc w:val="left"/>
    </w:pPr>
  </w:style>
  <w:style w:type="paragraph" w:styleId="5">
    <w:name w:val="Body Text"/>
    <w:basedOn w:val="1"/>
    <w:link w:val="21"/>
    <w:unhideWhenUsed/>
    <w:qFormat/>
    <w:uiPriority w:val="99"/>
    <w:pPr>
      <w:spacing w:after="120"/>
    </w:pPr>
  </w:style>
  <w:style w:type="paragraph" w:styleId="6">
    <w:name w:val="Balloon Text"/>
    <w:basedOn w:val="1"/>
    <w:link w:val="29"/>
    <w:qFormat/>
    <w:uiPriority w:val="0"/>
    <w:rPr>
      <w:sz w:val="18"/>
      <w:szCs w:val="18"/>
    </w:rPr>
  </w:style>
  <w:style w:type="paragraph" w:styleId="7">
    <w:name w:val="footer"/>
    <w:basedOn w:val="1"/>
    <w:link w:val="2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2"/>
    <w:basedOn w:val="1"/>
    <w:next w:val="1"/>
    <w:qFormat/>
    <w:uiPriority w:val="0"/>
    <w:pPr>
      <w:ind w:left="420" w:leftChars="200"/>
    </w:pPr>
    <w:rPr>
      <w:sz w:val="30"/>
    </w:rPr>
  </w:style>
  <w:style w:type="paragraph" w:styleId="10">
    <w:name w:val="annotation subject"/>
    <w:basedOn w:val="4"/>
    <w:next w:val="4"/>
    <w:link w:val="28"/>
    <w:qFormat/>
    <w:uiPriority w:val="0"/>
    <w:rPr>
      <w:b/>
      <w:bCs/>
    </w:rPr>
  </w:style>
  <w:style w:type="paragraph" w:styleId="11">
    <w:name w:val="Body Text First Indent"/>
    <w:basedOn w:val="5"/>
    <w:qFormat/>
    <w:uiPriority w:val="0"/>
    <w:pPr>
      <w:ind w:firstLine="420" w:firstLineChars="100"/>
    </w:pPr>
  </w:style>
  <w:style w:type="table" w:styleId="13">
    <w:name w:val="Table Grid"/>
    <w:basedOn w:val="12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5">
    <w:name w:val="page number"/>
    <w:qFormat/>
    <w:uiPriority w:val="0"/>
    <w:rPr>
      <w:rFonts w:ascii="Times New Roman" w:hAnsi="Times New Roman" w:eastAsia="宋体" w:cs="Simplified Arabic"/>
      <w:sz w:val="24"/>
      <w:szCs w:val="24"/>
      <w:lang w:val="en-GB" w:bidi="ar-AE"/>
    </w:rPr>
  </w:style>
  <w:style w:type="character" w:styleId="16">
    <w:name w:val="annotation reference"/>
    <w:basedOn w:val="14"/>
    <w:qFormat/>
    <w:uiPriority w:val="0"/>
    <w:rPr>
      <w:sz w:val="21"/>
      <w:szCs w:val="21"/>
    </w:rPr>
  </w:style>
  <w:style w:type="paragraph" w:customStyle="1" w:styleId="17">
    <w:name w:val="名称2"/>
    <w:basedOn w:val="18"/>
    <w:qFormat/>
    <w:uiPriority w:val="0"/>
    <w:pPr>
      <w:spacing w:after="312" w:afterLines="100"/>
    </w:pPr>
    <w:rPr>
      <w:b w:val="0"/>
      <w:sz w:val="20"/>
    </w:rPr>
  </w:style>
  <w:style w:type="paragraph" w:customStyle="1" w:styleId="18">
    <w:name w:val="名称"/>
    <w:basedOn w:val="1"/>
    <w:qFormat/>
    <w:uiPriority w:val="0"/>
    <w:pPr>
      <w:jc w:val="center"/>
    </w:pPr>
    <w:rPr>
      <w:b/>
      <w:kern w:val="0"/>
      <w:sz w:val="44"/>
      <w:szCs w:val="20"/>
    </w:rPr>
  </w:style>
  <w:style w:type="character" w:customStyle="1" w:styleId="19">
    <w:name w:val="页眉 字符"/>
    <w:basedOn w:val="14"/>
    <w:link w:val="8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20">
    <w:name w:val="页脚 字符"/>
    <w:basedOn w:val="14"/>
    <w:link w:val="7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21">
    <w:name w:val="正文文本 字符"/>
    <w:basedOn w:val="14"/>
    <w:link w:val="5"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paragraph" w:styleId="22">
    <w:name w:val="List Paragraph"/>
    <w:basedOn w:val="1"/>
    <w:qFormat/>
    <w:uiPriority w:val="99"/>
    <w:pPr>
      <w:ind w:firstLine="420" w:firstLineChars="200"/>
    </w:pPr>
  </w:style>
  <w:style w:type="paragraph" w:customStyle="1" w:styleId="23">
    <w:name w:val="Footer Right"/>
    <w:basedOn w:val="7"/>
    <w:qFormat/>
    <w:uiPriority w:val="0"/>
    <w:pPr>
      <w:jc w:val="right"/>
    </w:pPr>
  </w:style>
  <w:style w:type="paragraph" w:customStyle="1" w:styleId="24">
    <w:name w:val="KWMCN-标准"/>
    <w:qFormat/>
    <w:uiPriority w:val="0"/>
    <w:pPr>
      <w:adjustRightInd w:val="0"/>
      <w:snapToGrid w:val="0"/>
      <w:spacing w:after="360" w:line="320" w:lineRule="atLeast"/>
      <w:jc w:val="both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customStyle="1" w:styleId="25">
    <w:name w:val="msolistparagraph"/>
    <w:basedOn w:val="1"/>
    <w:qFormat/>
    <w:uiPriority w:val="0"/>
    <w:pPr>
      <w:ind w:firstLine="420" w:firstLineChars="200"/>
    </w:pPr>
  </w:style>
  <w:style w:type="character" w:customStyle="1" w:styleId="26">
    <w:name w:val="列表段落 字符"/>
    <w:basedOn w:val="14"/>
    <w:qFormat/>
    <w:uiPriority w:val="0"/>
    <w:rPr>
      <w:kern w:val="2"/>
      <w:sz w:val="21"/>
      <w:szCs w:val="24"/>
    </w:rPr>
  </w:style>
  <w:style w:type="character" w:customStyle="1" w:styleId="27">
    <w:name w:val="批注文字 字符"/>
    <w:basedOn w:val="14"/>
    <w:link w:val="4"/>
    <w:qFormat/>
    <w:uiPriority w:val="0"/>
    <w:rPr>
      <w:kern w:val="2"/>
      <w:sz w:val="21"/>
      <w:szCs w:val="24"/>
    </w:rPr>
  </w:style>
  <w:style w:type="character" w:customStyle="1" w:styleId="28">
    <w:name w:val="批注主题 字符"/>
    <w:basedOn w:val="27"/>
    <w:link w:val="10"/>
    <w:qFormat/>
    <w:uiPriority w:val="0"/>
    <w:rPr>
      <w:b/>
      <w:bCs/>
      <w:kern w:val="2"/>
      <w:sz w:val="21"/>
      <w:szCs w:val="24"/>
    </w:rPr>
  </w:style>
  <w:style w:type="character" w:customStyle="1" w:styleId="29">
    <w:name w:val="批注框文本 字符"/>
    <w:basedOn w:val="14"/>
    <w:link w:val="6"/>
    <w:qFormat/>
    <w:uiPriority w:val="0"/>
    <w:rPr>
      <w:kern w:val="2"/>
      <w:sz w:val="18"/>
      <w:szCs w:val="18"/>
    </w:rPr>
  </w:style>
  <w:style w:type="table" w:customStyle="1" w:styleId="3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其他省直机关单位</Company>
  <Pages>1</Pages>
  <Words>761</Words>
  <Characters>806</Characters>
  <Lines>6</Lines>
  <Paragraphs>1</Paragraphs>
  <TotalTime>0</TotalTime>
  <ScaleCrop>false</ScaleCrop>
  <LinksUpToDate>false</LinksUpToDate>
  <CharactersWithSpaces>815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2023-02-25T01:34:00Z</dcterms:created>
  <dc:creator>张斌（反垄断处）</dc:creator>
  <cp:lastModifiedBy>TY</cp:lastModifiedBy>
  <cp:lastPrinted>2024-04-03T17:34:00Z</cp:lastPrinted>
  <dcterms:modified xsi:type="dcterms:W3CDTF">2025-05-06T17:49:39Z</dcterms:modified>
  <dc:title>关于经营者集中反垄断审查案件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FFA576AA09941CCF33DB19684B9DA74D_43</vt:lpwstr>
  </property>
  <property fmtid="{D5CDD505-2E9C-101B-9397-08002B2CF9AE}" pid="4" name="KSOTemplateDocerSaveRecord">
    <vt:lpwstr>eyJoZGlkIjoiNWUwMDI0MjYzMDMwNmYyNzJlZDU0YmJlYTE4Yjk0YTkiLCJ1c2VySWQiOiIyNjYwNTM5MTIifQ==</vt:lpwstr>
  </property>
</Properties>
</file>