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044D" w14:textId="77777777" w:rsidR="009D4530" w:rsidRDefault="009D4530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9D4530" w:rsidRPr="00370E78" w14:paraId="1FA319C6" w14:textId="77777777" w:rsidTr="42313BE7">
        <w:trPr>
          <w:trHeight w:val="926"/>
        </w:trPr>
        <w:tc>
          <w:tcPr>
            <w:tcW w:w="1940" w:type="dxa"/>
            <w:shd w:val="clear" w:color="auto" w:fill="D9D9D9" w:themeFill="background1" w:themeFillShade="D9"/>
            <w:vAlign w:val="center"/>
          </w:tcPr>
          <w:p w14:paraId="7861CC7F" w14:textId="77777777" w:rsidR="009D4530" w:rsidRPr="00370E78" w:rsidRDefault="009D4530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r w:rsidRPr="00370E78">
              <w:rPr>
                <w:rFonts w:cs="宋体" w:hint="eastAsia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5AEF0BC3" w14:textId="53F6BE40" w:rsidR="009D4530" w:rsidRPr="00370E78" w:rsidRDefault="00292A70" w:rsidP="005D3152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292A70">
              <w:rPr>
                <w:rFonts w:cs="宋体" w:hint="eastAsia"/>
                <w:bCs/>
                <w:color w:val="000000"/>
                <w:lang w:val="en-US" w:eastAsia="zh-CN"/>
              </w:rPr>
              <w:t>住友商事株式会社与四国电力株式会社等</w:t>
            </w:r>
            <w:r w:rsidR="0054528F">
              <w:rPr>
                <w:rFonts w:cs="宋体" w:hint="eastAsia"/>
                <w:bCs/>
                <w:color w:val="000000"/>
                <w:lang w:val="en-US" w:eastAsia="zh-CN"/>
              </w:rPr>
              <w:t>经营者</w:t>
            </w:r>
            <w:r w:rsidRPr="00292A70">
              <w:rPr>
                <w:rFonts w:cs="宋体" w:hint="eastAsia"/>
                <w:bCs/>
                <w:color w:val="000000"/>
                <w:lang w:val="en-US" w:eastAsia="zh-CN"/>
              </w:rPr>
              <w:t>收购</w:t>
            </w:r>
            <w:r w:rsidRPr="00292A70">
              <w:rPr>
                <w:rFonts w:cs="宋体" w:hint="eastAsia"/>
                <w:bCs/>
                <w:color w:val="000000"/>
                <w:lang w:val="en-US" w:eastAsia="zh-CN"/>
              </w:rPr>
              <w:t>Ras Abu Fontas Power Q.P.S.C.</w:t>
            </w:r>
            <w:r w:rsidR="00F4231B">
              <w:rPr>
                <w:rFonts w:cs="宋体" w:hint="eastAsia"/>
                <w:bCs/>
                <w:color w:val="000000"/>
                <w:lang w:val="en-US" w:eastAsia="zh-CN"/>
              </w:rPr>
              <w:t>公司</w:t>
            </w:r>
            <w:r w:rsidRPr="00292A70">
              <w:rPr>
                <w:rFonts w:cs="宋体" w:hint="eastAsia"/>
                <w:bCs/>
                <w:color w:val="000000"/>
                <w:lang w:val="en-US" w:eastAsia="zh-CN"/>
              </w:rPr>
              <w:t>股权案</w:t>
            </w:r>
          </w:p>
        </w:tc>
      </w:tr>
      <w:tr w:rsidR="009D4530" w:rsidRPr="00370E78" w14:paraId="392D9B9B" w14:textId="77777777" w:rsidTr="00B41094">
        <w:trPr>
          <w:trHeight w:val="1898"/>
        </w:trPr>
        <w:tc>
          <w:tcPr>
            <w:tcW w:w="1940" w:type="dxa"/>
            <w:shd w:val="clear" w:color="auto" w:fill="D9D9D9" w:themeFill="background1" w:themeFillShade="D9"/>
            <w:vAlign w:val="center"/>
          </w:tcPr>
          <w:p w14:paraId="4F2083EA" w14:textId="77777777" w:rsidR="009D4530" w:rsidRPr="00370E78" w:rsidRDefault="009D4530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70E78">
              <w:rPr>
                <w:rFonts w:cs="宋体" w:hint="eastAsia"/>
                <w:bCs/>
                <w:color w:val="000000"/>
                <w:lang w:eastAsia="zh-CN"/>
              </w:rPr>
              <w:t>交易概况（限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200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7CEE901B" w14:textId="7E8EAA3F" w:rsidR="002D7975" w:rsidRDefault="00292A70" w:rsidP="42313BE7">
            <w:pPr>
              <w:pStyle w:val="BodyText"/>
              <w:adjustRightInd w:val="0"/>
              <w:snapToGrid w:val="0"/>
              <w:spacing w:after="0"/>
              <w:rPr>
                <w:rFonts w:cs="宋体"/>
                <w:color w:val="000000" w:themeColor="text1"/>
                <w:lang w:eastAsia="zh-CN"/>
              </w:rPr>
            </w:pPr>
            <w:r w:rsidRPr="00292A70">
              <w:rPr>
                <w:rFonts w:cs="宋体" w:hint="eastAsia"/>
                <w:color w:val="000000" w:themeColor="text1"/>
                <w:lang w:eastAsia="zh-CN"/>
              </w:rPr>
              <w:t>住友商事株式会社</w:t>
            </w:r>
            <w:r w:rsidRPr="00292A70">
              <w:rPr>
                <w:rFonts w:cs="宋体" w:hint="eastAsia"/>
                <w:color w:val="000000" w:themeColor="text1"/>
                <w:lang w:eastAsia="zh-CN"/>
              </w:rPr>
              <w:t>(</w:t>
            </w:r>
            <w:r w:rsidR="002D1AB8">
              <w:rPr>
                <w:rFonts w:cs="宋体" w:hint="eastAsia"/>
                <w:color w:val="000000" w:themeColor="text1"/>
                <w:lang w:eastAsia="zh-CN"/>
              </w:rPr>
              <w:t>“</w:t>
            </w:r>
            <w:r w:rsidRPr="002D1AB8">
              <w:rPr>
                <w:rFonts w:cs="宋体" w:hint="eastAsia"/>
                <w:b/>
                <w:bCs/>
                <w:color w:val="000000" w:themeColor="text1"/>
                <w:lang w:eastAsia="zh-CN"/>
              </w:rPr>
              <w:t>住友商事</w:t>
            </w:r>
            <w:r w:rsidR="002D1AB8" w:rsidRPr="002D1AB8">
              <w:rPr>
                <w:rFonts w:cs="宋体" w:hint="eastAsia"/>
                <w:color w:val="000000" w:themeColor="text1"/>
                <w:lang w:eastAsia="zh-CN"/>
              </w:rPr>
              <w:t>”</w:t>
            </w:r>
            <w:r w:rsidR="002D1AB8">
              <w:rPr>
                <w:rFonts w:cs="宋体" w:hint="eastAsia"/>
                <w:color w:val="000000" w:themeColor="text1"/>
                <w:lang w:eastAsia="zh-CN"/>
              </w:rPr>
              <w:t>)</w:t>
            </w:r>
            <w:r>
              <w:rPr>
                <w:rFonts w:cs="宋体" w:hint="eastAsia"/>
                <w:color w:val="000000" w:themeColor="text1"/>
                <w:lang w:eastAsia="zh-CN"/>
              </w:rPr>
              <w:t>、</w:t>
            </w:r>
            <w:r w:rsidRPr="00292A70">
              <w:rPr>
                <w:rFonts w:cs="宋体" w:hint="eastAsia"/>
                <w:color w:val="000000" w:themeColor="text1"/>
                <w:lang w:eastAsia="zh-CN"/>
              </w:rPr>
              <w:t>四国电力株式会社</w:t>
            </w:r>
            <w:r w:rsidR="002D1AB8">
              <w:rPr>
                <w:rFonts w:cs="宋体" w:hint="eastAsia"/>
                <w:color w:val="000000" w:themeColor="text1"/>
                <w:lang w:eastAsia="zh-CN"/>
              </w:rPr>
              <w:t>（“</w:t>
            </w:r>
            <w:r w:rsidRPr="003E6E79">
              <w:rPr>
                <w:rFonts w:cs="宋体" w:hint="eastAsia"/>
                <w:b/>
                <w:bCs/>
                <w:color w:val="000000" w:themeColor="text1"/>
                <w:lang w:eastAsia="zh-CN"/>
              </w:rPr>
              <w:t>四国电力</w:t>
            </w:r>
            <w:r w:rsidR="002D1AB8">
              <w:rPr>
                <w:rFonts w:cs="宋体" w:hint="eastAsia"/>
                <w:color w:val="000000" w:themeColor="text1"/>
                <w:lang w:eastAsia="zh-CN"/>
              </w:rPr>
              <w:t>”</w:t>
            </w:r>
            <w:r w:rsidRPr="00292A70">
              <w:rPr>
                <w:rFonts w:cs="宋体" w:hint="eastAsia"/>
                <w:color w:val="000000" w:themeColor="text1"/>
                <w:lang w:eastAsia="zh-CN"/>
              </w:rPr>
              <w:t>)</w:t>
            </w:r>
            <w:r>
              <w:rPr>
                <w:rFonts w:cs="宋体" w:hint="eastAsia"/>
                <w:color w:val="000000" w:themeColor="text1"/>
                <w:lang w:eastAsia="zh-CN"/>
              </w:rPr>
              <w:t>、</w:t>
            </w:r>
            <w:r w:rsidRPr="00292A70">
              <w:rPr>
                <w:rFonts w:cs="宋体" w:hint="eastAsia"/>
                <w:color w:val="000000" w:themeColor="text1"/>
                <w:lang w:eastAsia="zh-CN"/>
              </w:rPr>
              <w:t>韩国海外基础设施和城市发展公司</w:t>
            </w:r>
            <w:r w:rsidR="002D1AB8">
              <w:rPr>
                <w:rFonts w:cs="宋体" w:hint="eastAsia"/>
                <w:color w:val="000000" w:themeColor="text1"/>
                <w:lang w:eastAsia="zh-CN"/>
              </w:rPr>
              <w:t>（“</w:t>
            </w:r>
            <w:r w:rsidRPr="002D1AB8">
              <w:rPr>
                <w:rFonts w:cs="宋体" w:hint="eastAsia"/>
                <w:b/>
                <w:bCs/>
                <w:color w:val="000000" w:themeColor="text1"/>
                <w:lang w:eastAsia="zh-CN"/>
              </w:rPr>
              <w:t>KIND</w:t>
            </w:r>
            <w:r w:rsidR="002D1AB8">
              <w:rPr>
                <w:rFonts w:cs="宋体" w:hint="eastAsia"/>
                <w:color w:val="000000" w:themeColor="text1"/>
                <w:lang w:eastAsia="zh-CN"/>
              </w:rPr>
              <w:t>”）</w:t>
            </w:r>
            <w:r>
              <w:rPr>
                <w:rFonts w:cs="宋体" w:hint="eastAsia"/>
                <w:color w:val="000000" w:themeColor="text1"/>
                <w:lang w:eastAsia="zh-CN"/>
              </w:rPr>
              <w:t>、</w:t>
            </w:r>
            <w:r w:rsidRPr="00292A70">
              <w:rPr>
                <w:rFonts w:cs="宋体" w:hint="eastAsia"/>
                <w:color w:val="000000" w:themeColor="text1"/>
                <w:lang w:eastAsia="zh-CN"/>
              </w:rPr>
              <w:t>韩国南方电力公司</w:t>
            </w:r>
            <w:r w:rsidRPr="00292A70">
              <w:rPr>
                <w:rFonts w:cs="宋体" w:hint="eastAsia"/>
                <w:color w:val="000000" w:themeColor="text1"/>
                <w:lang w:eastAsia="zh-CN"/>
              </w:rPr>
              <w:t>(</w:t>
            </w:r>
            <w:r w:rsidR="002D1AB8">
              <w:rPr>
                <w:rFonts w:cs="宋体" w:hint="eastAsia"/>
                <w:color w:val="000000" w:themeColor="text1"/>
                <w:lang w:eastAsia="zh-CN"/>
              </w:rPr>
              <w:t>“</w:t>
            </w:r>
            <w:r w:rsidRPr="002D1AB8">
              <w:rPr>
                <w:rFonts w:cs="宋体" w:hint="eastAsia"/>
                <w:b/>
                <w:bCs/>
                <w:color w:val="000000" w:themeColor="text1"/>
                <w:lang w:eastAsia="zh-CN"/>
              </w:rPr>
              <w:t>KOSPO</w:t>
            </w:r>
            <w:r w:rsidR="002D1AB8">
              <w:rPr>
                <w:rFonts w:cs="宋体" w:hint="eastAsia"/>
                <w:color w:val="000000" w:themeColor="text1"/>
                <w:lang w:eastAsia="zh-CN"/>
              </w:rPr>
              <w:t>”</w:t>
            </w:r>
            <w:r w:rsidRPr="00292A70">
              <w:rPr>
                <w:rFonts w:cs="宋体" w:hint="eastAsia"/>
                <w:color w:val="000000" w:themeColor="text1"/>
                <w:lang w:eastAsia="zh-CN"/>
              </w:rPr>
              <w:t>)</w:t>
            </w:r>
            <w:r w:rsidR="00AA4C6C">
              <w:rPr>
                <w:rFonts w:cs="宋体" w:hint="eastAsia"/>
                <w:color w:val="000000" w:themeColor="text1"/>
                <w:lang w:eastAsia="zh-CN"/>
              </w:rPr>
              <w:t>拟</w:t>
            </w:r>
            <w:r>
              <w:rPr>
                <w:rFonts w:cs="宋体" w:hint="eastAsia"/>
                <w:color w:val="000000" w:themeColor="text1"/>
                <w:lang w:eastAsia="zh-CN"/>
              </w:rPr>
              <w:t>通过</w:t>
            </w:r>
            <w:r w:rsidR="006B24E8">
              <w:rPr>
                <w:rFonts w:cs="宋体" w:hint="eastAsia"/>
                <w:color w:val="000000" w:themeColor="text1"/>
                <w:lang w:eastAsia="zh-CN"/>
              </w:rPr>
              <w:t>一家</w:t>
            </w:r>
            <w:r>
              <w:rPr>
                <w:rFonts w:cs="宋体" w:hint="eastAsia"/>
                <w:color w:val="000000" w:themeColor="text1"/>
                <w:lang w:eastAsia="zh-CN"/>
              </w:rPr>
              <w:t>特殊目的公司</w:t>
            </w:r>
            <w:r w:rsidR="00B273A1">
              <w:rPr>
                <w:rFonts w:cs="宋体" w:hint="eastAsia"/>
                <w:color w:val="000000" w:themeColor="text1"/>
                <w:lang w:eastAsia="zh-CN"/>
              </w:rPr>
              <w:t>（“</w:t>
            </w:r>
            <w:r w:rsidR="00B273A1" w:rsidRPr="00B273A1">
              <w:rPr>
                <w:rFonts w:cs="宋体" w:hint="eastAsia"/>
                <w:b/>
                <w:bCs/>
                <w:color w:val="000000" w:themeColor="text1"/>
                <w:lang w:eastAsia="zh-CN"/>
              </w:rPr>
              <w:t>SPV</w:t>
            </w:r>
            <w:r w:rsidR="00B273A1">
              <w:rPr>
                <w:rFonts w:cs="宋体" w:hint="eastAsia"/>
                <w:color w:val="000000" w:themeColor="text1"/>
                <w:lang w:eastAsia="zh-CN"/>
              </w:rPr>
              <w:t>”）</w:t>
            </w:r>
            <w:r>
              <w:rPr>
                <w:rFonts w:cs="宋体" w:hint="eastAsia"/>
                <w:color w:val="000000" w:themeColor="text1"/>
                <w:lang w:eastAsia="zh-CN"/>
              </w:rPr>
              <w:t>收购</w:t>
            </w:r>
            <w:r w:rsidRPr="00292A70">
              <w:rPr>
                <w:rFonts w:cs="宋体"/>
                <w:color w:val="000000" w:themeColor="text1"/>
                <w:lang w:eastAsia="zh-CN"/>
              </w:rPr>
              <w:t>Ras Abu Fontas Power Q.P.S.C.</w:t>
            </w:r>
            <w:r w:rsidR="00F4231B">
              <w:rPr>
                <w:rFonts w:cs="宋体" w:hint="eastAsia"/>
                <w:color w:val="000000" w:themeColor="text1"/>
                <w:lang w:eastAsia="zh-CN"/>
              </w:rPr>
              <w:t>公司</w:t>
            </w:r>
            <w:r w:rsidR="0031715F">
              <w:rPr>
                <w:rFonts w:cs="宋体" w:hint="eastAsia"/>
                <w:color w:val="000000" w:themeColor="text1"/>
                <w:lang w:eastAsia="zh-CN"/>
              </w:rPr>
              <w:t>（“</w:t>
            </w:r>
            <w:r w:rsidR="006B24E8">
              <w:rPr>
                <w:rFonts w:cs="宋体" w:hint="eastAsia"/>
                <w:b/>
                <w:bCs/>
                <w:color w:val="000000" w:themeColor="text1"/>
                <w:lang w:eastAsia="zh-CN"/>
              </w:rPr>
              <w:t>JV</w:t>
            </w:r>
            <w:r w:rsidR="0031715F">
              <w:rPr>
                <w:rFonts w:cs="宋体" w:hint="eastAsia"/>
                <w:color w:val="000000" w:themeColor="text1"/>
                <w:lang w:eastAsia="zh-CN"/>
              </w:rPr>
              <w:t>”）</w:t>
            </w:r>
            <w:r w:rsidR="00B95336">
              <w:rPr>
                <w:rFonts w:cs="宋体" w:hint="eastAsia"/>
                <w:color w:val="000000" w:themeColor="text1"/>
                <w:lang w:eastAsia="zh-CN"/>
              </w:rPr>
              <w:t>40%</w:t>
            </w:r>
            <w:r>
              <w:rPr>
                <w:rFonts w:cs="宋体" w:hint="eastAsia"/>
                <w:color w:val="000000" w:themeColor="text1"/>
                <w:lang w:eastAsia="zh-CN"/>
              </w:rPr>
              <w:t>的</w:t>
            </w:r>
            <w:r w:rsidR="0031715F" w:rsidRPr="0031715F">
              <w:rPr>
                <w:rFonts w:cs="宋体" w:hint="eastAsia"/>
                <w:color w:val="000000" w:themeColor="text1"/>
                <w:lang w:eastAsia="zh-CN"/>
              </w:rPr>
              <w:t>股权</w:t>
            </w:r>
            <w:r w:rsidR="0031715F">
              <w:rPr>
                <w:rFonts w:cs="宋体" w:hint="eastAsia"/>
                <w:color w:val="000000" w:themeColor="text1"/>
                <w:lang w:eastAsia="zh-CN"/>
              </w:rPr>
              <w:t>。</w:t>
            </w:r>
            <w:r w:rsidR="00930E4C">
              <w:rPr>
                <w:rFonts w:cs="宋体" w:hint="eastAsia"/>
                <w:color w:val="000000" w:themeColor="text1"/>
                <w:lang w:eastAsia="zh-CN"/>
              </w:rPr>
              <w:t>JV</w:t>
            </w:r>
            <w:r>
              <w:rPr>
                <w:rFonts w:cs="宋体" w:hint="eastAsia"/>
                <w:color w:val="000000" w:themeColor="text1"/>
                <w:lang w:eastAsia="zh-CN"/>
              </w:rPr>
              <w:t>将在卡塔尔从事电力生产和城市供水业务</w:t>
            </w:r>
            <w:r w:rsidR="0031715F">
              <w:rPr>
                <w:rFonts w:cs="宋体" w:hint="eastAsia"/>
                <w:color w:val="000000" w:themeColor="text1"/>
                <w:lang w:eastAsia="zh-CN"/>
              </w:rPr>
              <w:t>。</w:t>
            </w:r>
          </w:p>
          <w:p w14:paraId="11B4D0A9" w14:textId="77777777" w:rsidR="00292A70" w:rsidRDefault="00292A70" w:rsidP="42313BE7">
            <w:pPr>
              <w:pStyle w:val="BodyText"/>
              <w:adjustRightInd w:val="0"/>
              <w:snapToGrid w:val="0"/>
              <w:spacing w:after="0"/>
              <w:rPr>
                <w:rFonts w:cs="宋体"/>
                <w:color w:val="000000" w:themeColor="text1"/>
                <w:lang w:eastAsia="zh-CN"/>
              </w:rPr>
            </w:pPr>
          </w:p>
          <w:p w14:paraId="78C859E5" w14:textId="218E5255" w:rsidR="0031715F" w:rsidRPr="00370E78" w:rsidRDefault="00E04F15" w:rsidP="00E04F15">
            <w:pPr>
              <w:pStyle w:val="BodyText"/>
              <w:adjustRightInd w:val="0"/>
              <w:snapToGrid w:val="0"/>
              <w:spacing w:after="0"/>
              <w:rPr>
                <w:rFonts w:cs="宋体"/>
                <w:color w:val="000000"/>
                <w:lang w:eastAsia="zh-CN"/>
              </w:rPr>
            </w:pPr>
            <w:r>
              <w:rPr>
                <w:rFonts w:cs="宋体" w:hint="eastAsia"/>
                <w:color w:val="000000" w:themeColor="text1"/>
                <w:lang w:eastAsia="zh-CN"/>
              </w:rPr>
              <w:t>交易前，</w:t>
            </w:r>
            <w:r w:rsidR="00B95336" w:rsidRPr="002D1AB8">
              <w:rPr>
                <w:rFonts w:cs="宋体" w:hint="eastAsia"/>
                <w:color w:val="000000" w:themeColor="text1"/>
                <w:lang w:eastAsia="zh-CN"/>
              </w:rPr>
              <w:t>Qatar Electricity and Water Company Q.P.S.C</w:t>
            </w:r>
            <w:r w:rsidR="00B95336">
              <w:rPr>
                <w:rFonts w:cs="宋体" w:hint="eastAsia"/>
                <w:color w:val="000000" w:themeColor="text1"/>
                <w:lang w:eastAsia="zh-CN"/>
              </w:rPr>
              <w:t>（“</w:t>
            </w:r>
            <w:r w:rsidR="00B95336" w:rsidRPr="003E6E79">
              <w:rPr>
                <w:rFonts w:cs="宋体" w:hint="eastAsia"/>
                <w:b/>
                <w:bCs/>
                <w:color w:val="000000" w:themeColor="text1"/>
                <w:lang w:eastAsia="zh-CN"/>
              </w:rPr>
              <w:t>QEWC</w:t>
            </w:r>
            <w:r w:rsidR="00B95336">
              <w:rPr>
                <w:rFonts w:cs="宋体" w:hint="eastAsia"/>
                <w:color w:val="000000" w:themeColor="text1"/>
                <w:lang w:eastAsia="zh-CN"/>
              </w:rPr>
              <w:t>”</w:t>
            </w:r>
            <w:r w:rsidR="00B95336" w:rsidRPr="002D1AB8">
              <w:rPr>
                <w:rFonts w:cs="宋体" w:hint="eastAsia"/>
                <w:color w:val="000000" w:themeColor="text1"/>
                <w:lang w:eastAsia="zh-CN"/>
              </w:rPr>
              <w:t>)</w:t>
            </w:r>
            <w:r w:rsidR="00B95336" w:rsidRPr="002D1AB8">
              <w:rPr>
                <w:rFonts w:cs="宋体" w:hint="eastAsia"/>
                <w:color w:val="000000" w:themeColor="text1"/>
                <w:lang w:eastAsia="zh-CN"/>
              </w:rPr>
              <w:t>和卡塔尔能源公司</w:t>
            </w:r>
            <w:r w:rsidR="00B95336">
              <w:rPr>
                <w:rFonts w:cs="宋体" w:hint="eastAsia"/>
                <w:color w:val="000000" w:themeColor="text1"/>
                <w:lang w:eastAsia="zh-CN"/>
              </w:rPr>
              <w:t>（“</w:t>
            </w:r>
            <w:r w:rsidR="00B95336" w:rsidRPr="00B41094">
              <w:rPr>
                <w:rFonts w:cs="宋体" w:hint="eastAsia"/>
                <w:b/>
                <w:bCs/>
                <w:color w:val="000000" w:themeColor="text1"/>
                <w:lang w:eastAsia="zh-CN"/>
              </w:rPr>
              <w:t>卡塔尔能源</w:t>
            </w:r>
            <w:r w:rsidR="00B95336">
              <w:rPr>
                <w:rFonts w:cs="宋体" w:hint="eastAsia"/>
                <w:color w:val="000000" w:themeColor="text1"/>
                <w:lang w:eastAsia="zh-CN"/>
              </w:rPr>
              <w:t>”）分别持有</w:t>
            </w:r>
            <w:r w:rsidR="00B95336">
              <w:rPr>
                <w:rFonts w:cs="宋体" w:hint="eastAsia"/>
                <w:color w:val="000000" w:themeColor="text1"/>
                <w:lang w:eastAsia="zh-CN"/>
              </w:rPr>
              <w:t xml:space="preserve">JV </w:t>
            </w:r>
            <w:r w:rsidR="00B95336">
              <w:rPr>
                <w:rFonts w:cs="宋体" w:hint="eastAsia"/>
                <w:color w:val="000000" w:themeColor="text1"/>
                <w:lang w:eastAsia="zh-CN"/>
              </w:rPr>
              <w:t>95%</w:t>
            </w:r>
            <w:r w:rsidR="00B95336">
              <w:rPr>
                <w:rFonts w:cs="宋体" w:hint="eastAsia"/>
                <w:color w:val="000000" w:themeColor="text1"/>
                <w:lang w:eastAsia="zh-CN"/>
              </w:rPr>
              <w:t>、</w:t>
            </w:r>
            <w:r w:rsidR="00B95336">
              <w:rPr>
                <w:rFonts w:cs="宋体" w:hint="eastAsia"/>
                <w:color w:val="000000" w:themeColor="text1"/>
                <w:lang w:eastAsia="zh-CN"/>
              </w:rPr>
              <w:t>5%</w:t>
            </w:r>
            <w:r w:rsidR="00B95336">
              <w:rPr>
                <w:rFonts w:cs="宋体" w:hint="eastAsia"/>
                <w:color w:val="000000" w:themeColor="text1"/>
                <w:lang w:eastAsia="zh-CN"/>
              </w:rPr>
              <w:t>的</w:t>
            </w:r>
            <w:r w:rsidR="00B95336">
              <w:rPr>
                <w:rFonts w:cs="宋体" w:hint="eastAsia"/>
                <w:color w:val="000000" w:themeColor="text1"/>
                <w:lang w:eastAsia="zh-CN"/>
              </w:rPr>
              <w:t>股权</w:t>
            </w:r>
            <w:r w:rsidR="00B95336">
              <w:rPr>
                <w:rFonts w:cs="宋体" w:hint="eastAsia"/>
                <w:color w:val="000000" w:themeColor="text1"/>
                <w:lang w:eastAsia="zh-CN"/>
              </w:rPr>
              <w:t>，</w:t>
            </w:r>
            <w:r w:rsidR="002D1AB8">
              <w:rPr>
                <w:rFonts w:cs="宋体" w:hint="eastAsia"/>
                <w:color w:val="000000" w:themeColor="text1"/>
                <w:lang w:eastAsia="zh-CN"/>
              </w:rPr>
              <w:t>共同控制</w:t>
            </w:r>
            <w:r w:rsidR="00B95336">
              <w:rPr>
                <w:rFonts w:cs="宋体" w:hint="eastAsia"/>
                <w:color w:val="000000" w:themeColor="text1"/>
                <w:lang w:eastAsia="zh-CN"/>
              </w:rPr>
              <w:t>JV</w:t>
            </w:r>
            <w:r w:rsidR="002D1AB8">
              <w:rPr>
                <w:rFonts w:cs="宋体" w:hint="eastAsia"/>
                <w:color w:val="000000" w:themeColor="text1"/>
                <w:lang w:eastAsia="zh-CN"/>
              </w:rPr>
              <w:t>。</w:t>
            </w:r>
            <w:r w:rsidR="0031715F">
              <w:rPr>
                <w:rFonts w:cs="宋体" w:hint="eastAsia"/>
                <w:color w:val="000000"/>
                <w:lang w:eastAsia="zh-CN"/>
              </w:rPr>
              <w:t>交易后，</w:t>
            </w:r>
            <w:r w:rsidR="004F4E1A" w:rsidRPr="002D1AB8">
              <w:rPr>
                <w:rFonts w:cs="宋体" w:hint="eastAsia"/>
                <w:color w:val="000000"/>
                <w:lang w:eastAsia="zh-CN"/>
              </w:rPr>
              <w:t>住友商事</w:t>
            </w:r>
            <w:r w:rsidR="004F4E1A">
              <w:rPr>
                <w:rFonts w:cs="宋体" w:hint="eastAsia"/>
                <w:color w:val="000000"/>
                <w:lang w:eastAsia="zh-CN"/>
              </w:rPr>
              <w:t>、</w:t>
            </w:r>
            <w:r w:rsidR="004F4E1A" w:rsidRPr="002D1AB8">
              <w:rPr>
                <w:rFonts w:cs="宋体" w:hint="eastAsia"/>
                <w:color w:val="000000"/>
                <w:lang w:eastAsia="zh-CN"/>
              </w:rPr>
              <w:t>四国电力</w:t>
            </w:r>
            <w:r w:rsidR="004F4E1A">
              <w:rPr>
                <w:rFonts w:cs="宋体" w:hint="eastAsia"/>
                <w:color w:val="000000"/>
                <w:lang w:eastAsia="zh-CN"/>
              </w:rPr>
              <w:t>、</w:t>
            </w:r>
            <w:r w:rsidR="004F4E1A" w:rsidRPr="002D1AB8">
              <w:rPr>
                <w:rFonts w:cs="宋体"/>
                <w:color w:val="000000"/>
                <w:lang w:eastAsia="zh-CN"/>
              </w:rPr>
              <w:t>KIND</w:t>
            </w:r>
            <w:r w:rsidR="004F4E1A">
              <w:rPr>
                <w:rFonts w:cs="宋体" w:hint="eastAsia"/>
                <w:color w:val="000000"/>
                <w:lang w:eastAsia="zh-CN"/>
              </w:rPr>
              <w:t>和</w:t>
            </w:r>
            <w:r w:rsidR="004F4E1A" w:rsidRPr="002D1AB8">
              <w:rPr>
                <w:rFonts w:cs="宋体"/>
                <w:color w:val="000000"/>
                <w:lang w:eastAsia="zh-CN"/>
              </w:rPr>
              <w:t>KOSPO</w:t>
            </w:r>
            <w:r w:rsidR="004F4E1A">
              <w:rPr>
                <w:rFonts w:cs="宋体" w:hint="eastAsia"/>
                <w:color w:val="000000"/>
                <w:lang w:eastAsia="zh-CN"/>
              </w:rPr>
              <w:t>通过</w:t>
            </w:r>
            <w:r w:rsidR="004F4E1A">
              <w:rPr>
                <w:rFonts w:cs="宋体" w:hint="eastAsia"/>
                <w:color w:val="000000"/>
                <w:lang w:eastAsia="zh-CN"/>
              </w:rPr>
              <w:t>SPV</w:t>
            </w:r>
            <w:r w:rsidR="004F4E1A">
              <w:rPr>
                <w:rFonts w:cs="宋体" w:hint="eastAsia"/>
                <w:color w:val="000000"/>
                <w:lang w:eastAsia="zh-CN"/>
              </w:rPr>
              <w:t>间接</w:t>
            </w:r>
            <w:r>
              <w:rPr>
                <w:rFonts w:cs="宋体" w:hint="eastAsia"/>
                <w:color w:val="000000"/>
                <w:lang w:eastAsia="zh-CN"/>
              </w:rPr>
              <w:t>持有</w:t>
            </w:r>
            <w:r w:rsidR="004F4E1A">
              <w:rPr>
                <w:rFonts w:cs="宋体" w:hint="eastAsia"/>
                <w:color w:val="000000"/>
                <w:lang w:eastAsia="zh-CN"/>
              </w:rPr>
              <w:t>JV</w:t>
            </w:r>
            <w:r>
              <w:rPr>
                <w:rFonts w:cs="宋体" w:hint="eastAsia"/>
                <w:color w:val="000000"/>
                <w:lang w:eastAsia="zh-CN"/>
              </w:rPr>
              <w:t xml:space="preserve"> 40%</w:t>
            </w:r>
            <w:r>
              <w:rPr>
                <w:rFonts w:cs="宋体" w:hint="eastAsia"/>
                <w:color w:val="000000"/>
                <w:lang w:eastAsia="zh-CN"/>
              </w:rPr>
              <w:t>的股权</w:t>
            </w:r>
            <w:r w:rsidR="009B52FB">
              <w:rPr>
                <w:rFonts w:cs="宋体" w:hint="eastAsia"/>
                <w:color w:val="000000"/>
                <w:lang w:eastAsia="zh-CN"/>
              </w:rPr>
              <w:t>，</w:t>
            </w:r>
            <w:r w:rsidR="00292A70" w:rsidRPr="00292A70">
              <w:rPr>
                <w:rFonts w:cs="宋体"/>
                <w:color w:val="000000"/>
                <w:lang w:eastAsia="zh-CN"/>
              </w:rPr>
              <w:t>QEWC</w:t>
            </w:r>
            <w:r w:rsidR="00B41094" w:rsidRPr="00B41094">
              <w:rPr>
                <w:rFonts w:cs="宋体" w:hint="eastAsia"/>
                <w:color w:val="000000"/>
                <w:lang w:eastAsia="zh-CN"/>
              </w:rPr>
              <w:t>持股</w:t>
            </w:r>
            <w:r w:rsidR="00292A70">
              <w:rPr>
                <w:rFonts w:cs="宋体" w:hint="eastAsia"/>
                <w:color w:val="000000"/>
                <w:lang w:eastAsia="zh-CN"/>
              </w:rPr>
              <w:t>55</w:t>
            </w:r>
            <w:r w:rsidR="0031715F">
              <w:rPr>
                <w:rFonts w:cs="宋体"/>
                <w:color w:val="000000"/>
                <w:lang w:eastAsia="zh-CN"/>
              </w:rPr>
              <w:t>%</w:t>
            </w:r>
            <w:r w:rsidR="0031715F">
              <w:rPr>
                <w:rFonts w:cs="宋体" w:hint="eastAsia"/>
                <w:color w:val="000000"/>
                <w:lang w:eastAsia="zh-CN"/>
              </w:rPr>
              <w:t>、</w:t>
            </w:r>
            <w:r w:rsidR="00292A70" w:rsidRPr="00292A70">
              <w:rPr>
                <w:rFonts w:cs="宋体" w:hint="eastAsia"/>
                <w:color w:val="000000"/>
                <w:lang w:eastAsia="zh-CN"/>
              </w:rPr>
              <w:t>卡塔尔能源</w:t>
            </w:r>
            <w:r w:rsidR="00B41094" w:rsidRPr="00B41094">
              <w:rPr>
                <w:rFonts w:cs="宋体" w:hint="eastAsia"/>
                <w:color w:val="000000"/>
                <w:lang w:eastAsia="zh-CN"/>
              </w:rPr>
              <w:t>持股</w:t>
            </w:r>
            <w:r w:rsidR="00292A70">
              <w:rPr>
                <w:rFonts w:cs="宋体" w:hint="eastAsia"/>
                <w:color w:val="000000"/>
                <w:lang w:eastAsia="zh-CN"/>
              </w:rPr>
              <w:t>5</w:t>
            </w:r>
            <w:r w:rsidR="0031715F">
              <w:rPr>
                <w:rFonts w:cs="宋体"/>
                <w:color w:val="000000"/>
                <w:lang w:eastAsia="zh-CN"/>
              </w:rPr>
              <w:t>%</w:t>
            </w:r>
            <w:r>
              <w:rPr>
                <w:rFonts w:cs="宋体" w:hint="eastAsia"/>
                <w:color w:val="000000"/>
                <w:lang w:eastAsia="zh-CN"/>
              </w:rPr>
              <w:t>，六方共同控制</w:t>
            </w:r>
            <w:r>
              <w:rPr>
                <w:rFonts w:cs="宋体" w:hint="eastAsia"/>
                <w:color w:val="000000"/>
                <w:lang w:eastAsia="zh-CN"/>
              </w:rPr>
              <w:t>JV</w:t>
            </w:r>
            <w:r w:rsidR="009B52FB">
              <w:rPr>
                <w:rFonts w:cs="宋体" w:hint="eastAsia"/>
                <w:color w:val="000000"/>
                <w:lang w:eastAsia="zh-CN"/>
              </w:rPr>
              <w:t>。</w:t>
            </w:r>
          </w:p>
        </w:tc>
      </w:tr>
      <w:tr w:rsidR="00E6077C" w:rsidRPr="00370E78" w14:paraId="2FBBE67A" w14:textId="77777777" w:rsidTr="42313BE7">
        <w:trPr>
          <w:trHeight w:val="942"/>
        </w:trPr>
        <w:tc>
          <w:tcPr>
            <w:tcW w:w="1940" w:type="dxa"/>
            <w:vMerge w:val="restart"/>
            <w:shd w:val="clear" w:color="auto" w:fill="D9D9D9" w:themeFill="background1" w:themeFillShade="D9"/>
            <w:vAlign w:val="center"/>
          </w:tcPr>
          <w:p w14:paraId="4DA6F46B" w14:textId="3B2D884D" w:rsidR="00E6077C" w:rsidRPr="00370E78" w:rsidRDefault="00E6077C" w:rsidP="00CF2C23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 w:rsidRPr="00370E78">
              <w:rPr>
                <w:rFonts w:cs="宋体" w:hint="eastAsia"/>
                <w:bCs/>
                <w:color w:val="000000"/>
                <w:lang w:eastAsia="zh-CN"/>
              </w:rPr>
              <w:t>参与集中的经营者简介（每个限</w:t>
            </w:r>
            <w:r w:rsidRPr="00370E78">
              <w:rPr>
                <w:rFonts w:cs="宋体" w:hint="eastAsia"/>
                <w:bCs/>
                <w:color w:val="000000"/>
                <w:lang w:val="en-US" w:eastAsia="zh-CN"/>
              </w:rPr>
              <w:t>100</w:t>
            </w:r>
            <w:r w:rsidRPr="00370E78">
              <w:rPr>
                <w:rFonts w:cs="宋体" w:hint="eastAsia"/>
                <w:bCs/>
                <w:color w:val="000000"/>
                <w:lang w:val="en-US" w:eastAsia="zh-CN"/>
              </w:rPr>
              <w:t>字以内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18FB837E" w14:textId="6070ADD2" w:rsidR="00E6077C" w:rsidRPr="00D604A8" w:rsidRDefault="00E6077C" w:rsidP="00E92DC0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/>
                <w:bCs/>
                <w:color w:val="000000"/>
                <w:lang w:val="en-US" w:eastAsia="zh-CN"/>
              </w:rPr>
              <w:t xml:space="preserve">1. </w:t>
            </w:r>
            <w:r w:rsidRPr="00292A70">
              <w:rPr>
                <w:rFonts w:cs="宋体" w:hint="eastAsia"/>
                <w:bCs/>
                <w:color w:val="000000"/>
                <w:lang w:val="en-US" w:eastAsia="zh-CN"/>
              </w:rPr>
              <w:t>住友商事</w:t>
            </w:r>
          </w:p>
        </w:tc>
        <w:tc>
          <w:tcPr>
            <w:tcW w:w="6093" w:type="dxa"/>
            <w:vAlign w:val="center"/>
          </w:tcPr>
          <w:p w14:paraId="45966497" w14:textId="77777777" w:rsidR="00E6077C" w:rsidRPr="00E6077C" w:rsidRDefault="00E6077C" w:rsidP="00E6077C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 w:rsidRPr="00E6077C">
              <w:rPr>
                <w:rFonts w:cs="宋体" w:hint="eastAsia"/>
                <w:bCs/>
                <w:color w:val="000000"/>
                <w:lang w:eastAsia="zh-CN"/>
              </w:rPr>
              <w:t>住友商事于</w:t>
            </w:r>
            <w:r w:rsidRPr="00E6077C">
              <w:rPr>
                <w:rFonts w:cs="宋体" w:hint="eastAsia"/>
                <w:bCs/>
                <w:color w:val="000000"/>
                <w:lang w:eastAsia="zh-CN"/>
              </w:rPr>
              <w:t>1919</w:t>
            </w:r>
            <w:r w:rsidRPr="00E6077C">
              <w:rPr>
                <w:rFonts w:cs="宋体" w:hint="eastAsia"/>
                <w:bCs/>
                <w:color w:val="000000"/>
                <w:lang w:eastAsia="zh-CN"/>
              </w:rPr>
              <w:t>年在日本成立，为东京证券交易所、大阪证券交易所、名古屋证券交易所和福冈证券交易所的上市公司。住友商事主营业务领域包括：金属产品；运输和建筑系统；环境和基础设施等。</w:t>
            </w:r>
          </w:p>
          <w:p w14:paraId="03F02B5B" w14:textId="359DD909" w:rsidR="00E6077C" w:rsidRPr="008D6621" w:rsidRDefault="00E6077C" w:rsidP="00E6077C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 w:rsidRPr="00E6077C">
              <w:rPr>
                <w:rFonts w:cs="宋体" w:hint="eastAsia"/>
                <w:bCs/>
                <w:color w:val="000000"/>
                <w:lang w:eastAsia="zh-CN"/>
              </w:rPr>
              <w:t>住友商事无最终控制人。</w:t>
            </w:r>
          </w:p>
        </w:tc>
      </w:tr>
      <w:tr w:rsidR="00E6077C" w:rsidRPr="00370E78" w14:paraId="5D926159" w14:textId="77777777" w:rsidTr="42313BE7">
        <w:trPr>
          <w:trHeight w:val="942"/>
        </w:trPr>
        <w:tc>
          <w:tcPr>
            <w:tcW w:w="1940" w:type="dxa"/>
            <w:vMerge/>
            <w:shd w:val="clear" w:color="auto" w:fill="D9D9D9" w:themeFill="background1" w:themeFillShade="D9"/>
            <w:vAlign w:val="center"/>
          </w:tcPr>
          <w:p w14:paraId="25B75510" w14:textId="0DC78B09" w:rsidR="00E6077C" w:rsidRPr="00370E78" w:rsidRDefault="00E6077C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054712CB" w14:textId="04775680" w:rsidR="00E6077C" w:rsidRPr="00D604A8" w:rsidRDefault="00E6077C" w:rsidP="00E92DC0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/>
                <w:bCs/>
                <w:color w:val="000000"/>
                <w:lang w:val="en-US" w:eastAsia="zh-CN"/>
              </w:rPr>
              <w:t>2</w:t>
            </w:r>
            <w:r w:rsidRPr="00D604A8">
              <w:rPr>
                <w:rFonts w:cs="宋体" w:hint="eastAsia"/>
                <w:bCs/>
                <w:color w:val="000000"/>
                <w:lang w:val="en-US" w:eastAsia="zh-CN"/>
              </w:rPr>
              <w:t>.</w:t>
            </w:r>
            <w:r>
              <w:rPr>
                <w:rFonts w:cs="宋体"/>
                <w:bCs/>
                <w:color w:val="000000"/>
                <w:lang w:val="en-US" w:eastAsia="zh-CN"/>
              </w:rPr>
              <w:t xml:space="preserve"> </w:t>
            </w:r>
            <w:r w:rsidRPr="00E6077C">
              <w:rPr>
                <w:rFonts w:hint="eastAsia"/>
                <w:bCs/>
                <w:lang w:eastAsia="zh-CN"/>
              </w:rPr>
              <w:t>四国电力</w:t>
            </w:r>
          </w:p>
        </w:tc>
        <w:tc>
          <w:tcPr>
            <w:tcW w:w="6093" w:type="dxa"/>
            <w:vAlign w:val="center"/>
          </w:tcPr>
          <w:p w14:paraId="588E4741" w14:textId="0E761E9D" w:rsidR="00E6077C" w:rsidRDefault="00232302" w:rsidP="00E6077C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 w:rsidRPr="00232302">
              <w:rPr>
                <w:rFonts w:cs="宋体" w:hint="eastAsia"/>
                <w:bCs/>
                <w:color w:val="000000"/>
                <w:lang w:eastAsia="zh-CN"/>
              </w:rPr>
              <w:t>四国电力于</w:t>
            </w:r>
            <w:r w:rsidRPr="00232302">
              <w:rPr>
                <w:rFonts w:cs="宋体" w:hint="eastAsia"/>
                <w:bCs/>
                <w:color w:val="000000"/>
                <w:lang w:eastAsia="zh-CN"/>
              </w:rPr>
              <w:t>19</w:t>
            </w:r>
            <w:r w:rsidR="00F52B06">
              <w:rPr>
                <w:rFonts w:cs="宋体" w:hint="eastAsia"/>
                <w:bCs/>
                <w:color w:val="000000"/>
                <w:lang w:eastAsia="zh-CN"/>
              </w:rPr>
              <w:t>51</w:t>
            </w:r>
            <w:r w:rsidRPr="00232302">
              <w:rPr>
                <w:rFonts w:cs="宋体" w:hint="eastAsia"/>
                <w:bCs/>
                <w:color w:val="000000"/>
                <w:lang w:eastAsia="zh-CN"/>
              </w:rPr>
              <w:t>年在日本成立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，为</w:t>
            </w:r>
            <w:r w:rsidRPr="00232302">
              <w:rPr>
                <w:rFonts w:cs="宋体" w:hint="eastAsia"/>
                <w:bCs/>
                <w:color w:val="000000"/>
                <w:lang w:eastAsia="zh-CN"/>
              </w:rPr>
              <w:t>东京证券交易所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的</w:t>
            </w:r>
            <w:r w:rsidRPr="00232302">
              <w:rPr>
                <w:rFonts w:cs="宋体" w:hint="eastAsia"/>
                <w:bCs/>
                <w:color w:val="000000"/>
                <w:lang w:eastAsia="zh-CN"/>
              </w:rPr>
              <w:t>上市公司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。</w:t>
            </w:r>
            <w:r w:rsidRPr="00232302">
              <w:rPr>
                <w:rFonts w:cs="宋体" w:hint="eastAsia"/>
                <w:bCs/>
                <w:color w:val="000000"/>
                <w:lang w:eastAsia="zh-CN"/>
              </w:rPr>
              <w:t>四国电力主营业务领域包括：日本境内发电和供电；信息与通信技术；包括液化天然气和供热</w:t>
            </w:r>
            <w:r w:rsidR="00FB2542">
              <w:rPr>
                <w:rFonts w:cs="宋体" w:hint="eastAsia"/>
                <w:bCs/>
                <w:color w:val="000000"/>
                <w:lang w:eastAsia="zh-CN"/>
              </w:rPr>
              <w:t>的</w:t>
            </w:r>
            <w:r w:rsidR="00FB2542" w:rsidRPr="00232302">
              <w:rPr>
                <w:rFonts w:cs="宋体" w:hint="eastAsia"/>
                <w:bCs/>
                <w:color w:val="000000"/>
                <w:lang w:eastAsia="zh-CN"/>
              </w:rPr>
              <w:t>能源</w:t>
            </w:r>
            <w:r w:rsidR="00FB2542">
              <w:rPr>
                <w:rFonts w:cs="宋体" w:hint="eastAsia"/>
                <w:bCs/>
                <w:color w:val="000000"/>
                <w:lang w:eastAsia="zh-CN"/>
              </w:rPr>
              <w:t>业务</w:t>
            </w:r>
            <w:r w:rsidRPr="00232302">
              <w:rPr>
                <w:rFonts w:cs="宋体" w:hint="eastAsia"/>
                <w:bCs/>
                <w:color w:val="000000"/>
                <w:lang w:eastAsia="zh-CN"/>
              </w:rPr>
              <w:t>；建筑和工程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  <w:p w14:paraId="6C7EF538" w14:textId="3F5DDEA4" w:rsidR="00232302" w:rsidRPr="00370E78" w:rsidRDefault="00232302" w:rsidP="00E6077C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 w:rsidRPr="00232302">
              <w:rPr>
                <w:rFonts w:cs="宋体" w:hint="eastAsia"/>
                <w:bCs/>
                <w:color w:val="000000"/>
                <w:lang w:eastAsia="zh-CN"/>
              </w:rPr>
              <w:t>四国电力无最终控制人。</w:t>
            </w:r>
          </w:p>
        </w:tc>
      </w:tr>
      <w:tr w:rsidR="00E6077C" w:rsidRPr="00370E78" w14:paraId="41E0FC39" w14:textId="77777777" w:rsidTr="42313BE7">
        <w:trPr>
          <w:trHeight w:val="1744"/>
        </w:trPr>
        <w:tc>
          <w:tcPr>
            <w:tcW w:w="1940" w:type="dxa"/>
            <w:vMerge/>
            <w:vAlign w:val="center"/>
          </w:tcPr>
          <w:p w14:paraId="53AD84D9" w14:textId="77777777" w:rsidR="00E6077C" w:rsidRPr="00370E78" w:rsidRDefault="00E6077C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42CE59CA" w14:textId="204DD2D1" w:rsidR="00E6077C" w:rsidRPr="00370E78" w:rsidRDefault="00E6077C" w:rsidP="00E92DC0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/>
                <w:bCs/>
                <w:color w:val="000000"/>
                <w:lang w:val="en-US" w:eastAsia="zh-CN"/>
              </w:rPr>
              <w:t>3</w:t>
            </w:r>
            <w:r w:rsidRPr="00370E78">
              <w:rPr>
                <w:rFonts w:cs="宋体" w:hint="eastAsia"/>
                <w:bCs/>
                <w:color w:val="000000"/>
                <w:lang w:val="en-US" w:eastAsia="zh-CN"/>
              </w:rPr>
              <w:t>.</w:t>
            </w:r>
            <w:r>
              <w:rPr>
                <w:bCs/>
                <w:color w:val="000000"/>
                <w:lang w:val="en-US"/>
              </w:rPr>
              <w:t xml:space="preserve"> </w:t>
            </w:r>
            <w:r w:rsidR="00F96C49" w:rsidRPr="00F96C49">
              <w:rPr>
                <w:bCs/>
                <w:color w:val="000000"/>
                <w:lang w:val="en-US"/>
              </w:rPr>
              <w:t>KIND</w:t>
            </w:r>
          </w:p>
        </w:tc>
        <w:tc>
          <w:tcPr>
            <w:tcW w:w="6093" w:type="dxa"/>
            <w:vAlign w:val="center"/>
          </w:tcPr>
          <w:p w14:paraId="2262424B" w14:textId="03F40827" w:rsidR="00D5389C" w:rsidRDefault="008545EB" w:rsidP="00B266CA">
            <w:pPr>
              <w:pStyle w:val="BodyText"/>
              <w:adjustRightInd w:val="0"/>
              <w:snapToGrid w:val="0"/>
              <w:spacing w:after="0"/>
              <w:rPr>
                <w:rFonts w:cs="宋体"/>
                <w:color w:val="000000" w:themeColor="text1"/>
                <w:lang w:eastAsia="zh-CN"/>
              </w:rPr>
            </w:pPr>
            <w:r>
              <w:rPr>
                <w:rFonts w:cs="宋体" w:hint="eastAsia"/>
                <w:color w:val="000000" w:themeColor="text1"/>
                <w:lang w:eastAsia="zh-CN"/>
              </w:rPr>
              <w:t>KIND</w:t>
            </w:r>
            <w:r w:rsidRPr="008545EB">
              <w:rPr>
                <w:rFonts w:cs="宋体" w:hint="eastAsia"/>
                <w:color w:val="000000" w:themeColor="text1"/>
                <w:lang w:eastAsia="zh-CN"/>
              </w:rPr>
              <w:t>于</w:t>
            </w:r>
            <w:r>
              <w:rPr>
                <w:rFonts w:cs="宋体" w:hint="eastAsia"/>
                <w:color w:val="000000" w:themeColor="text1"/>
                <w:lang w:eastAsia="zh-CN"/>
              </w:rPr>
              <w:t>2018</w:t>
            </w:r>
            <w:r w:rsidRPr="008545EB">
              <w:rPr>
                <w:rFonts w:cs="宋体" w:hint="eastAsia"/>
                <w:color w:val="000000" w:themeColor="text1"/>
                <w:lang w:eastAsia="zh-CN"/>
              </w:rPr>
              <w:t>年在</w:t>
            </w:r>
            <w:r>
              <w:rPr>
                <w:rFonts w:cs="宋体" w:hint="eastAsia"/>
                <w:color w:val="000000" w:themeColor="text1"/>
                <w:lang w:eastAsia="zh-CN"/>
              </w:rPr>
              <w:t>韩国成</w:t>
            </w:r>
            <w:r w:rsidRPr="008545EB">
              <w:rPr>
                <w:rFonts w:cs="宋体" w:hint="eastAsia"/>
                <w:color w:val="000000" w:themeColor="text1"/>
                <w:lang w:eastAsia="zh-CN"/>
              </w:rPr>
              <w:t>立</w:t>
            </w:r>
            <w:r w:rsidR="0076010D">
              <w:rPr>
                <w:rFonts w:cs="宋体" w:hint="eastAsia"/>
                <w:color w:val="000000" w:themeColor="text1"/>
                <w:lang w:eastAsia="zh-CN"/>
              </w:rPr>
              <w:t>，</w:t>
            </w:r>
            <w:r w:rsidRPr="008545EB">
              <w:rPr>
                <w:rFonts w:cs="宋体" w:hint="eastAsia"/>
                <w:color w:val="000000" w:themeColor="text1"/>
                <w:lang w:eastAsia="zh-CN"/>
              </w:rPr>
              <w:t>在海外交通运输基础设施、城市发展、电力和能源等领域为韩国企业提供项目规划、可行性研究、项目信息和项目融资方面的支持</w:t>
            </w:r>
            <w:r w:rsidR="00D5389C">
              <w:rPr>
                <w:rFonts w:cs="宋体" w:hint="eastAsia"/>
                <w:color w:val="000000" w:themeColor="text1"/>
                <w:lang w:eastAsia="zh-CN"/>
              </w:rPr>
              <w:t>。</w:t>
            </w:r>
          </w:p>
          <w:p w14:paraId="1351BD89" w14:textId="6C660F35" w:rsidR="008545EB" w:rsidRPr="008545EB" w:rsidRDefault="008545EB" w:rsidP="00B266CA">
            <w:pPr>
              <w:pStyle w:val="BodyText"/>
              <w:adjustRightInd w:val="0"/>
              <w:snapToGrid w:val="0"/>
              <w:spacing w:after="0"/>
              <w:rPr>
                <w:rFonts w:cs="宋体"/>
                <w:color w:val="000000" w:themeColor="text1"/>
                <w:lang w:eastAsia="zh-CN"/>
              </w:rPr>
            </w:pPr>
            <w:r w:rsidRPr="008545EB">
              <w:rPr>
                <w:rFonts w:cs="宋体"/>
                <w:color w:val="000000"/>
                <w:lang w:eastAsia="zh-CN"/>
              </w:rPr>
              <w:t>KIND</w:t>
            </w:r>
            <w:r w:rsidRPr="008545EB">
              <w:rPr>
                <w:rFonts w:cs="宋体" w:hint="eastAsia"/>
                <w:color w:val="000000"/>
                <w:lang w:eastAsia="zh-CN"/>
              </w:rPr>
              <w:t>无最终控制人。</w:t>
            </w:r>
          </w:p>
        </w:tc>
      </w:tr>
      <w:tr w:rsidR="00E6077C" w:rsidRPr="00370E78" w14:paraId="16D6532E" w14:textId="77777777" w:rsidTr="42313BE7">
        <w:trPr>
          <w:trHeight w:val="1744"/>
        </w:trPr>
        <w:tc>
          <w:tcPr>
            <w:tcW w:w="1940" w:type="dxa"/>
            <w:vMerge/>
            <w:vAlign w:val="center"/>
          </w:tcPr>
          <w:p w14:paraId="4BF93A49" w14:textId="77777777" w:rsidR="00E6077C" w:rsidRPr="00370E78" w:rsidRDefault="00E6077C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333DE8A6" w14:textId="3B35F53C" w:rsidR="00E6077C" w:rsidRPr="00370E78" w:rsidRDefault="00E6077C" w:rsidP="00E92DC0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/>
                <w:bCs/>
                <w:color w:val="000000"/>
                <w:lang w:val="en-US" w:eastAsia="zh-CN"/>
              </w:rPr>
              <w:t xml:space="preserve">4. </w:t>
            </w:r>
            <w:r w:rsidR="00F96C49" w:rsidRPr="00F96C49">
              <w:rPr>
                <w:rFonts w:cs="宋体"/>
                <w:bCs/>
                <w:color w:val="000000"/>
                <w:lang w:val="en-US" w:eastAsia="zh-CN"/>
              </w:rPr>
              <w:t>KOSPO</w:t>
            </w:r>
          </w:p>
        </w:tc>
        <w:tc>
          <w:tcPr>
            <w:tcW w:w="6093" w:type="dxa"/>
            <w:vAlign w:val="center"/>
          </w:tcPr>
          <w:p w14:paraId="62BAA77D" w14:textId="5C41069A" w:rsidR="00E6077C" w:rsidRDefault="00377181" w:rsidP="00377181">
            <w:pPr>
              <w:pStyle w:val="BodyText"/>
              <w:adjustRightInd w:val="0"/>
              <w:snapToGrid w:val="0"/>
              <w:spacing w:after="0"/>
              <w:rPr>
                <w:rFonts w:cs="宋体"/>
                <w:color w:val="000000" w:themeColor="text1"/>
                <w:lang w:eastAsia="zh-CN"/>
              </w:rPr>
            </w:pPr>
            <w:r w:rsidRPr="00377181">
              <w:rPr>
                <w:rFonts w:cs="宋体"/>
                <w:color w:val="000000" w:themeColor="text1"/>
                <w:lang w:eastAsia="zh-CN"/>
              </w:rPr>
              <w:t>KOSPO</w:t>
            </w:r>
            <w:r w:rsidR="00E6077C" w:rsidRPr="42313BE7">
              <w:rPr>
                <w:rFonts w:cs="宋体"/>
                <w:color w:val="000000" w:themeColor="text1"/>
                <w:lang w:eastAsia="zh-CN"/>
              </w:rPr>
              <w:t>于</w:t>
            </w:r>
            <w:r>
              <w:rPr>
                <w:rFonts w:cs="宋体" w:hint="eastAsia"/>
                <w:color w:val="000000" w:themeColor="text1"/>
                <w:lang w:eastAsia="zh-CN"/>
              </w:rPr>
              <w:t>2001</w:t>
            </w:r>
            <w:r w:rsidR="00E6077C" w:rsidRPr="42313BE7">
              <w:rPr>
                <w:rFonts w:cs="宋体"/>
                <w:color w:val="000000" w:themeColor="text1"/>
                <w:lang w:eastAsia="zh-CN"/>
              </w:rPr>
              <w:t>年在</w:t>
            </w:r>
            <w:r>
              <w:rPr>
                <w:rFonts w:cs="宋体" w:hint="eastAsia"/>
                <w:color w:val="000000" w:themeColor="text1"/>
                <w:lang w:eastAsia="zh-CN"/>
              </w:rPr>
              <w:t>韩国</w:t>
            </w:r>
            <w:r w:rsidR="00E6077C" w:rsidRPr="42313BE7">
              <w:rPr>
                <w:rFonts w:cs="宋体"/>
                <w:color w:val="000000" w:themeColor="text1"/>
                <w:lang w:eastAsia="zh-CN"/>
              </w:rPr>
              <w:t>成立</w:t>
            </w:r>
            <w:r w:rsidR="009C6B45">
              <w:rPr>
                <w:rFonts w:cs="宋体" w:hint="eastAsia"/>
                <w:color w:val="000000" w:themeColor="text1"/>
                <w:lang w:eastAsia="zh-CN"/>
              </w:rPr>
              <w:t>，</w:t>
            </w:r>
            <w:r w:rsidR="00E6077C" w:rsidRPr="42313BE7">
              <w:rPr>
                <w:rFonts w:cs="宋体"/>
                <w:color w:val="000000" w:themeColor="text1"/>
                <w:lang w:eastAsia="zh-CN"/>
              </w:rPr>
              <w:t>主营业务</w:t>
            </w:r>
            <w:r>
              <w:rPr>
                <w:rFonts w:cs="宋体" w:hint="eastAsia"/>
                <w:color w:val="000000" w:themeColor="text1"/>
                <w:lang w:eastAsia="zh-CN"/>
              </w:rPr>
              <w:t>为韩国境内发电</w:t>
            </w:r>
            <w:r w:rsidR="009C6B45">
              <w:rPr>
                <w:rFonts w:cs="宋体" w:hint="eastAsia"/>
                <w:color w:val="000000" w:themeColor="text1"/>
                <w:lang w:eastAsia="zh-CN"/>
              </w:rPr>
              <w:t>和境外</w:t>
            </w:r>
            <w:r w:rsidRPr="00377181">
              <w:rPr>
                <w:rFonts w:cs="宋体" w:hint="eastAsia"/>
                <w:color w:val="000000" w:themeColor="text1"/>
                <w:lang w:eastAsia="zh-CN"/>
              </w:rPr>
              <w:t>IPP</w:t>
            </w:r>
            <w:r w:rsidRPr="00377181">
              <w:rPr>
                <w:rFonts w:cs="宋体" w:hint="eastAsia"/>
                <w:color w:val="000000" w:themeColor="text1"/>
                <w:lang w:eastAsia="zh-CN"/>
              </w:rPr>
              <w:t>开发与投资、</w:t>
            </w:r>
            <w:r w:rsidRPr="00377181">
              <w:rPr>
                <w:rFonts w:cs="宋体" w:hint="eastAsia"/>
                <w:color w:val="000000" w:themeColor="text1"/>
                <w:lang w:eastAsia="zh-CN"/>
              </w:rPr>
              <w:t>EPC</w:t>
            </w:r>
            <w:r w:rsidRPr="00377181">
              <w:rPr>
                <w:rFonts w:cs="宋体" w:hint="eastAsia"/>
                <w:color w:val="000000" w:themeColor="text1"/>
                <w:lang w:eastAsia="zh-CN"/>
              </w:rPr>
              <w:t>管理、运营维护和调试等。</w:t>
            </w:r>
          </w:p>
          <w:p w14:paraId="6912F1E2" w14:textId="16B907CD" w:rsidR="00E6077C" w:rsidRDefault="00377181" w:rsidP="00F8302C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 w:rsidRPr="00377181">
              <w:rPr>
                <w:rFonts w:cs="宋体"/>
                <w:bCs/>
                <w:color w:val="000000"/>
                <w:lang w:eastAsia="zh-CN"/>
              </w:rPr>
              <w:t>KOSPO</w:t>
            </w:r>
            <w:r w:rsidR="009B085D">
              <w:rPr>
                <w:rFonts w:cs="宋体" w:hint="eastAsia"/>
                <w:bCs/>
                <w:color w:val="000000"/>
                <w:lang w:eastAsia="zh-CN"/>
              </w:rPr>
              <w:t>无</w:t>
            </w:r>
            <w:r w:rsidR="00E6077C">
              <w:rPr>
                <w:rFonts w:cs="宋体" w:hint="eastAsia"/>
                <w:bCs/>
                <w:color w:val="000000"/>
                <w:lang w:eastAsia="zh-CN"/>
              </w:rPr>
              <w:t>最终控制人</w:t>
            </w:r>
            <w:r w:rsidRPr="00377181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E6077C" w:rsidRPr="00370E78" w14:paraId="5A26120A" w14:textId="77777777" w:rsidTr="42313BE7">
        <w:trPr>
          <w:trHeight w:val="1744"/>
        </w:trPr>
        <w:tc>
          <w:tcPr>
            <w:tcW w:w="1940" w:type="dxa"/>
            <w:vMerge/>
            <w:vAlign w:val="center"/>
          </w:tcPr>
          <w:p w14:paraId="4C24AA67" w14:textId="77777777" w:rsidR="00E6077C" w:rsidRPr="00370E78" w:rsidRDefault="00E6077C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35AA1081" w14:textId="1843F083" w:rsidR="00E6077C" w:rsidRDefault="00E6077C" w:rsidP="00E92DC0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val="en-US" w:eastAsia="zh-CN"/>
              </w:rPr>
              <w:t xml:space="preserve">5. </w:t>
            </w:r>
            <w:r w:rsidR="00F96C49" w:rsidRPr="00F96C49">
              <w:rPr>
                <w:rFonts w:cs="宋体"/>
                <w:bCs/>
                <w:color w:val="000000"/>
                <w:lang w:val="en-US" w:eastAsia="zh-CN"/>
              </w:rPr>
              <w:t>QEWC</w:t>
            </w:r>
          </w:p>
        </w:tc>
        <w:tc>
          <w:tcPr>
            <w:tcW w:w="6093" w:type="dxa"/>
            <w:vAlign w:val="center"/>
          </w:tcPr>
          <w:p w14:paraId="47B0E96B" w14:textId="1A9FEC39" w:rsidR="00E6077C" w:rsidRDefault="00377181" w:rsidP="42313BE7">
            <w:pPr>
              <w:pStyle w:val="BodyText"/>
              <w:adjustRightInd w:val="0"/>
              <w:snapToGrid w:val="0"/>
              <w:spacing w:after="0"/>
              <w:rPr>
                <w:rFonts w:cs="宋体"/>
                <w:color w:val="000000" w:themeColor="text1"/>
                <w:lang w:eastAsia="zh-CN"/>
              </w:rPr>
            </w:pPr>
            <w:r w:rsidRPr="00377181">
              <w:rPr>
                <w:rFonts w:cs="宋体"/>
                <w:color w:val="000000" w:themeColor="text1"/>
                <w:lang w:eastAsia="zh-CN"/>
              </w:rPr>
              <w:t>QEWC</w:t>
            </w:r>
            <w:r w:rsidRPr="00377181">
              <w:rPr>
                <w:rFonts w:cs="宋体" w:hint="eastAsia"/>
                <w:color w:val="000000" w:themeColor="text1"/>
                <w:lang w:eastAsia="zh-CN"/>
              </w:rPr>
              <w:t>于</w:t>
            </w:r>
            <w:r w:rsidR="00051C2C">
              <w:rPr>
                <w:rFonts w:cs="宋体" w:hint="eastAsia"/>
                <w:color w:val="000000" w:themeColor="text1"/>
                <w:lang w:eastAsia="zh-CN"/>
              </w:rPr>
              <w:t>1990</w:t>
            </w:r>
            <w:r w:rsidRPr="00377181">
              <w:rPr>
                <w:rFonts w:cs="宋体" w:hint="eastAsia"/>
                <w:color w:val="000000" w:themeColor="text1"/>
                <w:lang w:eastAsia="zh-CN"/>
              </w:rPr>
              <w:t>年在</w:t>
            </w:r>
            <w:r>
              <w:rPr>
                <w:rFonts w:cs="宋体" w:hint="eastAsia"/>
                <w:color w:val="000000" w:themeColor="text1"/>
                <w:lang w:eastAsia="zh-CN"/>
              </w:rPr>
              <w:t>卡塔尔</w:t>
            </w:r>
            <w:r w:rsidRPr="00377181">
              <w:rPr>
                <w:rFonts w:cs="宋体" w:hint="eastAsia"/>
                <w:color w:val="000000" w:themeColor="text1"/>
                <w:lang w:eastAsia="zh-CN"/>
              </w:rPr>
              <w:t>成立，为</w:t>
            </w:r>
            <w:r>
              <w:rPr>
                <w:rFonts w:cs="宋体" w:hint="eastAsia"/>
                <w:color w:val="000000" w:themeColor="text1"/>
                <w:lang w:eastAsia="zh-CN"/>
              </w:rPr>
              <w:t>卡塔尔</w:t>
            </w:r>
            <w:r w:rsidRPr="00377181">
              <w:rPr>
                <w:rFonts w:cs="宋体" w:hint="eastAsia"/>
                <w:color w:val="000000" w:themeColor="text1"/>
                <w:lang w:eastAsia="zh-CN"/>
              </w:rPr>
              <w:t>证券交易所的上市公司</w:t>
            </w:r>
            <w:r w:rsidR="00CF684C">
              <w:rPr>
                <w:rFonts w:cs="宋体" w:hint="eastAsia"/>
                <w:color w:val="000000" w:themeColor="text1"/>
                <w:lang w:eastAsia="zh-CN"/>
              </w:rPr>
              <w:t>，</w:t>
            </w:r>
            <w:r w:rsidR="00CF684C" w:rsidRPr="00CF684C">
              <w:rPr>
                <w:rFonts w:cs="宋体" w:hint="eastAsia"/>
                <w:color w:val="000000" w:themeColor="text1"/>
                <w:lang w:eastAsia="zh-CN"/>
              </w:rPr>
              <w:t>主要在卡塔尔</w:t>
            </w:r>
            <w:r w:rsidR="00CF684C">
              <w:rPr>
                <w:rFonts w:cs="宋体" w:hint="eastAsia"/>
                <w:color w:val="000000" w:themeColor="text1"/>
                <w:lang w:eastAsia="zh-CN"/>
              </w:rPr>
              <w:t>和整个中东地区</w:t>
            </w:r>
            <w:r w:rsidR="00CF684C" w:rsidRPr="00CF684C">
              <w:rPr>
                <w:rFonts w:cs="宋体" w:hint="eastAsia"/>
                <w:color w:val="000000" w:themeColor="text1"/>
                <w:lang w:eastAsia="zh-CN"/>
              </w:rPr>
              <w:t>从事电力</w:t>
            </w:r>
            <w:r w:rsidR="005D1CF4">
              <w:rPr>
                <w:rFonts w:cs="宋体" w:hint="eastAsia"/>
                <w:color w:val="000000" w:themeColor="text1"/>
                <w:lang w:eastAsia="zh-CN"/>
              </w:rPr>
              <w:t>生产</w:t>
            </w:r>
            <w:r w:rsidR="00CF684C" w:rsidRPr="00CF684C">
              <w:rPr>
                <w:rFonts w:cs="宋体" w:hint="eastAsia"/>
                <w:color w:val="000000" w:themeColor="text1"/>
                <w:lang w:eastAsia="zh-CN"/>
              </w:rPr>
              <w:t>和</w:t>
            </w:r>
            <w:r w:rsidR="00CD19FF">
              <w:rPr>
                <w:rFonts w:cs="宋体" w:hint="eastAsia"/>
                <w:color w:val="000000" w:themeColor="text1"/>
                <w:lang w:eastAsia="zh-CN"/>
              </w:rPr>
              <w:t>海水</w:t>
            </w:r>
            <w:r w:rsidR="00CF684C" w:rsidRPr="00CF684C">
              <w:rPr>
                <w:rFonts w:cs="宋体" w:hint="eastAsia"/>
                <w:color w:val="000000" w:themeColor="text1"/>
                <w:lang w:eastAsia="zh-CN"/>
              </w:rPr>
              <w:t>淡化业务。</w:t>
            </w:r>
          </w:p>
          <w:p w14:paraId="5847EB98" w14:textId="47CD064B" w:rsidR="00CF684C" w:rsidRPr="00102B2C" w:rsidRDefault="00CF684C" w:rsidP="42313BE7">
            <w:pPr>
              <w:pStyle w:val="BodyText"/>
              <w:adjustRightInd w:val="0"/>
              <w:snapToGrid w:val="0"/>
              <w:spacing w:after="0"/>
              <w:rPr>
                <w:rFonts w:cs="宋体"/>
                <w:color w:val="000000" w:themeColor="text1"/>
                <w:lang w:eastAsia="zh-CN"/>
              </w:rPr>
            </w:pPr>
            <w:r w:rsidRPr="00CF684C">
              <w:rPr>
                <w:rFonts w:cs="宋体"/>
                <w:color w:val="000000" w:themeColor="text1"/>
                <w:lang w:eastAsia="zh-CN"/>
              </w:rPr>
              <w:t>QEWC</w:t>
            </w:r>
            <w:r w:rsidRPr="00CF684C">
              <w:rPr>
                <w:rFonts w:cs="宋体" w:hint="eastAsia"/>
                <w:color w:val="000000" w:themeColor="text1"/>
                <w:lang w:eastAsia="zh-CN"/>
              </w:rPr>
              <w:t>无最终控制人</w:t>
            </w:r>
            <w:r>
              <w:rPr>
                <w:rFonts w:cs="宋体" w:hint="eastAsia"/>
                <w:color w:val="000000" w:themeColor="text1"/>
                <w:lang w:eastAsia="zh-CN"/>
              </w:rPr>
              <w:t>。</w:t>
            </w:r>
          </w:p>
        </w:tc>
      </w:tr>
      <w:tr w:rsidR="00E6077C" w:rsidRPr="00370E78" w14:paraId="3EE0DC5B" w14:textId="77777777" w:rsidTr="42313BE7">
        <w:trPr>
          <w:trHeight w:val="1744"/>
        </w:trPr>
        <w:tc>
          <w:tcPr>
            <w:tcW w:w="1940" w:type="dxa"/>
            <w:vMerge/>
            <w:vAlign w:val="center"/>
          </w:tcPr>
          <w:p w14:paraId="2B8A57F8" w14:textId="77777777" w:rsidR="00E6077C" w:rsidRPr="00370E78" w:rsidRDefault="00E6077C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755D8CA6" w14:textId="60856F3B" w:rsidR="00E6077C" w:rsidRDefault="00E6077C" w:rsidP="00E92DC0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val="en-US" w:eastAsia="zh-CN"/>
              </w:rPr>
              <w:t xml:space="preserve">6. </w:t>
            </w:r>
            <w:r w:rsidR="00F96C49" w:rsidRPr="00F96C49">
              <w:rPr>
                <w:rFonts w:cs="宋体" w:hint="eastAsia"/>
                <w:bCs/>
                <w:color w:val="000000"/>
                <w:lang w:val="en-US" w:eastAsia="zh-CN"/>
              </w:rPr>
              <w:t>卡塔尔能源</w:t>
            </w:r>
          </w:p>
        </w:tc>
        <w:tc>
          <w:tcPr>
            <w:tcW w:w="6093" w:type="dxa"/>
            <w:vAlign w:val="center"/>
          </w:tcPr>
          <w:p w14:paraId="27F9BBFD" w14:textId="0F1275C1" w:rsidR="00E6077C" w:rsidRDefault="00051C2C" w:rsidP="42313BE7">
            <w:pPr>
              <w:pStyle w:val="BodyText"/>
              <w:adjustRightInd w:val="0"/>
              <w:snapToGrid w:val="0"/>
              <w:spacing w:after="0"/>
              <w:rPr>
                <w:rFonts w:cs="宋体"/>
                <w:color w:val="000000" w:themeColor="text1"/>
                <w:lang w:eastAsia="zh-CN"/>
              </w:rPr>
            </w:pPr>
            <w:r w:rsidRPr="00051C2C">
              <w:rPr>
                <w:rFonts w:cs="宋体" w:hint="eastAsia"/>
                <w:color w:val="000000" w:themeColor="text1"/>
                <w:lang w:eastAsia="zh-CN"/>
              </w:rPr>
              <w:t>卡塔尔能源</w:t>
            </w:r>
            <w:r>
              <w:rPr>
                <w:rFonts w:cs="宋体" w:hint="eastAsia"/>
                <w:color w:val="000000" w:themeColor="text1"/>
                <w:lang w:eastAsia="zh-CN"/>
              </w:rPr>
              <w:t>于</w:t>
            </w:r>
            <w:r>
              <w:rPr>
                <w:rFonts w:cs="宋体" w:hint="eastAsia"/>
                <w:color w:val="000000" w:themeColor="text1"/>
                <w:lang w:eastAsia="zh-CN"/>
              </w:rPr>
              <w:t>1974</w:t>
            </w:r>
            <w:r>
              <w:rPr>
                <w:rFonts w:cs="宋体" w:hint="eastAsia"/>
                <w:color w:val="000000" w:themeColor="text1"/>
                <w:lang w:eastAsia="zh-CN"/>
              </w:rPr>
              <w:t>年在卡塔尔成立</w:t>
            </w:r>
            <w:r w:rsidR="00706D91">
              <w:rPr>
                <w:rFonts w:cs="宋体" w:hint="eastAsia"/>
                <w:color w:val="000000" w:themeColor="text1"/>
                <w:lang w:eastAsia="zh-CN"/>
              </w:rPr>
              <w:t>，主要</w:t>
            </w:r>
            <w:r w:rsidRPr="00051C2C">
              <w:rPr>
                <w:rFonts w:cs="宋体" w:hint="eastAsia"/>
                <w:color w:val="000000" w:themeColor="text1"/>
                <w:lang w:eastAsia="zh-CN"/>
              </w:rPr>
              <w:t>业务活动涵盖油气领域，包括：石油和天然气、液化天然气、</w:t>
            </w:r>
            <w:r w:rsidR="00706D91" w:rsidRPr="00051C2C">
              <w:rPr>
                <w:rFonts w:cs="宋体" w:hint="eastAsia"/>
                <w:color w:val="000000" w:themeColor="text1"/>
                <w:lang w:eastAsia="zh-CN"/>
              </w:rPr>
              <w:t>液体</w:t>
            </w:r>
            <w:r w:rsidRPr="00051C2C">
              <w:rPr>
                <w:rFonts w:cs="宋体" w:hint="eastAsia"/>
                <w:color w:val="000000" w:themeColor="text1"/>
                <w:lang w:eastAsia="zh-CN"/>
              </w:rPr>
              <w:t>天然气（</w:t>
            </w:r>
            <w:r w:rsidRPr="00051C2C">
              <w:rPr>
                <w:rFonts w:cs="宋体" w:hint="eastAsia"/>
                <w:color w:val="000000" w:themeColor="text1"/>
                <w:lang w:eastAsia="zh-CN"/>
              </w:rPr>
              <w:t>NGL</w:t>
            </w:r>
            <w:r w:rsidRPr="00051C2C">
              <w:rPr>
                <w:rFonts w:cs="宋体" w:hint="eastAsia"/>
                <w:color w:val="000000" w:themeColor="text1"/>
                <w:lang w:eastAsia="zh-CN"/>
              </w:rPr>
              <w:t>）、天然气制油（</w:t>
            </w:r>
            <w:r w:rsidRPr="00051C2C">
              <w:rPr>
                <w:rFonts w:cs="宋体" w:hint="eastAsia"/>
                <w:color w:val="000000" w:themeColor="text1"/>
                <w:lang w:eastAsia="zh-CN"/>
              </w:rPr>
              <w:t>GTL</w:t>
            </w:r>
            <w:r w:rsidRPr="00051C2C">
              <w:rPr>
                <w:rFonts w:cs="宋体" w:hint="eastAsia"/>
                <w:color w:val="000000" w:themeColor="text1"/>
                <w:lang w:eastAsia="zh-CN"/>
              </w:rPr>
              <w:t>）产品、精炼产品、石化产品、化肥、钢铁和铝的勘探、生产、加工、营销和销售。</w:t>
            </w:r>
          </w:p>
          <w:p w14:paraId="20E9A80E" w14:textId="228B13BD" w:rsidR="00051C2C" w:rsidRPr="00102B2C" w:rsidRDefault="00051C2C" w:rsidP="42313BE7">
            <w:pPr>
              <w:pStyle w:val="BodyText"/>
              <w:adjustRightInd w:val="0"/>
              <w:snapToGrid w:val="0"/>
              <w:spacing w:after="0"/>
              <w:rPr>
                <w:rFonts w:cs="宋体"/>
                <w:color w:val="000000" w:themeColor="text1"/>
                <w:lang w:eastAsia="zh-CN"/>
              </w:rPr>
            </w:pPr>
            <w:r w:rsidRPr="00051C2C">
              <w:rPr>
                <w:rFonts w:cs="宋体" w:hint="eastAsia"/>
                <w:color w:val="000000" w:themeColor="text1"/>
                <w:lang w:eastAsia="zh-CN"/>
              </w:rPr>
              <w:t>卡塔尔能源无最终控制人。</w:t>
            </w:r>
          </w:p>
        </w:tc>
      </w:tr>
      <w:tr w:rsidR="00E6077C" w:rsidRPr="00370E78" w14:paraId="3C803464" w14:textId="77777777" w:rsidTr="42313BE7">
        <w:trPr>
          <w:trHeight w:val="1744"/>
        </w:trPr>
        <w:tc>
          <w:tcPr>
            <w:tcW w:w="1940" w:type="dxa"/>
            <w:vMerge/>
            <w:vAlign w:val="center"/>
          </w:tcPr>
          <w:p w14:paraId="76BF46A2" w14:textId="77777777" w:rsidR="00E6077C" w:rsidRPr="00370E78" w:rsidRDefault="00E6077C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2305AC97" w14:textId="481BF5DB" w:rsidR="00E6077C" w:rsidRDefault="00E6077C" w:rsidP="00E92DC0">
            <w:pPr>
              <w:pStyle w:val="BodyText"/>
              <w:adjustRightInd w:val="0"/>
              <w:snapToGrid w:val="0"/>
              <w:spacing w:after="0"/>
              <w:jc w:val="left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val="en-US" w:eastAsia="zh-CN"/>
              </w:rPr>
              <w:t xml:space="preserve">7. </w:t>
            </w:r>
            <w:r w:rsidR="00706D91">
              <w:rPr>
                <w:rFonts w:cs="宋体" w:hint="eastAsia"/>
                <w:bCs/>
                <w:color w:val="000000"/>
                <w:lang w:val="en-US" w:eastAsia="zh-CN"/>
              </w:rPr>
              <w:t>JV</w:t>
            </w:r>
          </w:p>
        </w:tc>
        <w:tc>
          <w:tcPr>
            <w:tcW w:w="6093" w:type="dxa"/>
            <w:vAlign w:val="center"/>
          </w:tcPr>
          <w:p w14:paraId="63564AB0" w14:textId="79CD32A6" w:rsidR="00E6077C" w:rsidRDefault="00706D91" w:rsidP="42313BE7">
            <w:pPr>
              <w:pStyle w:val="BodyText"/>
              <w:adjustRightInd w:val="0"/>
              <w:snapToGrid w:val="0"/>
              <w:spacing w:after="0"/>
              <w:rPr>
                <w:rFonts w:cs="宋体"/>
                <w:color w:val="000000" w:themeColor="text1"/>
                <w:lang w:eastAsia="zh-CN"/>
              </w:rPr>
            </w:pPr>
            <w:r>
              <w:rPr>
                <w:rFonts w:cs="宋体" w:hint="eastAsia"/>
                <w:color w:val="000000" w:themeColor="text1"/>
                <w:lang w:eastAsia="zh-CN"/>
              </w:rPr>
              <w:t>JV</w:t>
            </w:r>
            <w:r w:rsidR="00051C2C" w:rsidRPr="00051C2C">
              <w:rPr>
                <w:rFonts w:cs="宋体" w:hint="eastAsia"/>
                <w:color w:val="000000" w:themeColor="text1"/>
                <w:lang w:eastAsia="zh-CN"/>
              </w:rPr>
              <w:t>于</w:t>
            </w:r>
            <w:r w:rsidR="00051C2C">
              <w:rPr>
                <w:rFonts w:cs="宋体" w:hint="eastAsia"/>
                <w:color w:val="000000" w:themeColor="text1"/>
                <w:lang w:eastAsia="zh-CN"/>
              </w:rPr>
              <w:t>2024</w:t>
            </w:r>
            <w:r w:rsidR="00051C2C">
              <w:rPr>
                <w:rFonts w:cs="宋体" w:hint="eastAsia"/>
                <w:color w:val="000000" w:themeColor="text1"/>
                <w:lang w:eastAsia="zh-CN"/>
              </w:rPr>
              <w:t>年</w:t>
            </w:r>
            <w:r w:rsidR="00051C2C" w:rsidRPr="00051C2C">
              <w:rPr>
                <w:rFonts w:cs="宋体" w:hint="eastAsia"/>
                <w:color w:val="000000" w:themeColor="text1"/>
                <w:lang w:eastAsia="zh-CN"/>
              </w:rPr>
              <w:t>在卡塔尔成立</w:t>
            </w:r>
            <w:r w:rsidR="00051C2C">
              <w:rPr>
                <w:rFonts w:cs="宋体" w:hint="eastAsia"/>
                <w:color w:val="000000" w:themeColor="text1"/>
                <w:lang w:eastAsia="zh-CN"/>
              </w:rPr>
              <w:t>，将在卡塔尔从事电力生产和城市</w:t>
            </w:r>
            <w:r w:rsidR="00352831">
              <w:rPr>
                <w:rFonts w:cs="宋体" w:hint="eastAsia"/>
                <w:color w:val="000000" w:themeColor="text1"/>
                <w:lang w:eastAsia="zh-CN"/>
              </w:rPr>
              <w:t>供水</w:t>
            </w:r>
            <w:r w:rsidR="00051C2C">
              <w:rPr>
                <w:rFonts w:cs="宋体" w:hint="eastAsia"/>
                <w:color w:val="000000" w:themeColor="text1"/>
                <w:lang w:eastAsia="zh-CN"/>
              </w:rPr>
              <w:t>业务。</w:t>
            </w:r>
          </w:p>
          <w:p w14:paraId="2BBAE8C2" w14:textId="06300A7A" w:rsidR="00051C2C" w:rsidRPr="00102B2C" w:rsidRDefault="00706D91" w:rsidP="42313BE7">
            <w:pPr>
              <w:pStyle w:val="BodyText"/>
              <w:adjustRightInd w:val="0"/>
              <w:snapToGrid w:val="0"/>
              <w:spacing w:after="0"/>
              <w:rPr>
                <w:rFonts w:cs="宋体"/>
                <w:color w:val="000000" w:themeColor="text1"/>
                <w:lang w:eastAsia="zh-CN"/>
              </w:rPr>
            </w:pPr>
            <w:r>
              <w:rPr>
                <w:rFonts w:cs="宋体" w:hint="eastAsia"/>
                <w:color w:val="000000" w:themeColor="text1"/>
                <w:lang w:eastAsia="zh-CN"/>
              </w:rPr>
              <w:t>JV</w:t>
            </w:r>
            <w:r w:rsidR="009E7E51">
              <w:rPr>
                <w:rFonts w:cs="宋体" w:hint="eastAsia"/>
                <w:color w:val="000000" w:themeColor="text1"/>
                <w:lang w:eastAsia="zh-CN"/>
              </w:rPr>
              <w:t>由</w:t>
            </w:r>
            <w:r w:rsidR="00051C2C">
              <w:rPr>
                <w:rFonts w:cs="宋体" w:hint="eastAsia"/>
                <w:color w:val="000000" w:themeColor="text1"/>
                <w:lang w:eastAsia="zh-CN"/>
              </w:rPr>
              <w:t>QEWC</w:t>
            </w:r>
            <w:r w:rsidR="00051C2C">
              <w:rPr>
                <w:rFonts w:cs="宋体" w:hint="eastAsia"/>
                <w:color w:val="000000" w:themeColor="text1"/>
                <w:lang w:eastAsia="zh-CN"/>
              </w:rPr>
              <w:t>和</w:t>
            </w:r>
            <w:r w:rsidR="00051C2C" w:rsidRPr="00051C2C">
              <w:rPr>
                <w:rFonts w:cs="宋体" w:hint="eastAsia"/>
                <w:color w:val="000000" w:themeColor="text1"/>
                <w:lang w:eastAsia="zh-CN"/>
              </w:rPr>
              <w:t>卡塔尔能源</w:t>
            </w:r>
            <w:r w:rsidR="00051C2C">
              <w:rPr>
                <w:rFonts w:cs="宋体" w:hint="eastAsia"/>
                <w:color w:val="000000" w:themeColor="text1"/>
                <w:lang w:eastAsia="zh-CN"/>
              </w:rPr>
              <w:t>共同控制。</w:t>
            </w:r>
          </w:p>
        </w:tc>
      </w:tr>
      <w:tr w:rsidR="00992759" w:rsidRPr="00370E78" w14:paraId="246B3800" w14:textId="77777777" w:rsidTr="42313BE7">
        <w:trPr>
          <w:trHeight w:val="279"/>
        </w:trPr>
        <w:tc>
          <w:tcPr>
            <w:tcW w:w="1940" w:type="dxa"/>
            <w:vMerge w:val="restart"/>
            <w:shd w:val="clear" w:color="auto" w:fill="D9D9D9" w:themeFill="background1" w:themeFillShade="D9"/>
            <w:vAlign w:val="center"/>
          </w:tcPr>
          <w:p w14:paraId="6F38F8AC" w14:textId="1E8F4140" w:rsidR="00992759" w:rsidRPr="00370E78" w:rsidRDefault="00992759" w:rsidP="00992759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70E78">
              <w:rPr>
                <w:rFonts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77A8DE75" w14:textId="0127C295" w:rsidR="00992759" w:rsidRPr="00370E78" w:rsidRDefault="00992759" w:rsidP="00992759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70E78">
              <w:rPr>
                <w:rFonts w:ascii="Wingdings" w:eastAsia="Wingdings" w:hAnsi="Wingdings" w:cs="Wingdings" w:hint="eastAsia"/>
                <w:bCs/>
                <w:color w:val="000000"/>
                <w:lang w:eastAsia="zh-CN"/>
              </w:rPr>
              <w:t>o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 xml:space="preserve"> 1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15%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992759" w:rsidRPr="00370E78" w14:paraId="4B2ED02B" w14:textId="77777777" w:rsidTr="42313BE7">
        <w:trPr>
          <w:trHeight w:val="330"/>
        </w:trPr>
        <w:tc>
          <w:tcPr>
            <w:tcW w:w="1940" w:type="dxa"/>
            <w:vMerge/>
            <w:vAlign w:val="center"/>
          </w:tcPr>
          <w:p w14:paraId="40501777" w14:textId="77777777" w:rsidR="00992759" w:rsidRPr="00370E78" w:rsidRDefault="00992759" w:rsidP="00992759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BA1044C" w14:textId="5310E6DC" w:rsidR="00992759" w:rsidRPr="00370E78" w:rsidRDefault="0050048C" w:rsidP="00992759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50048C">
              <w:rPr>
                <w:rFonts w:ascii="Wingdings" w:eastAsia="Wingdings" w:hAnsi="Wingdings" w:cs="Wingdings"/>
                <w:bCs/>
                <w:color w:val="000000"/>
                <w:lang w:eastAsia="zh-CN"/>
              </w:rPr>
              <w:t></w:t>
            </w:r>
            <w:r w:rsidR="00992759" w:rsidRPr="00370E78">
              <w:rPr>
                <w:rFonts w:cs="宋体" w:hint="eastAsia"/>
                <w:bCs/>
                <w:color w:val="000000"/>
                <w:lang w:eastAsia="zh-CN"/>
              </w:rPr>
              <w:t xml:space="preserve"> 2</w:t>
            </w:r>
            <w:r w:rsidR="00992759" w:rsidRPr="00370E78">
              <w:rPr>
                <w:rFonts w:cs="宋体" w:hint="eastAsia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 w:rsidR="00992759" w:rsidRPr="00370E78"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 w:rsidR="00992759" w:rsidRPr="00370E78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992759" w:rsidRPr="00370E78" w14:paraId="36B9FDFB" w14:textId="77777777" w:rsidTr="42313BE7">
        <w:trPr>
          <w:trHeight w:val="285"/>
        </w:trPr>
        <w:tc>
          <w:tcPr>
            <w:tcW w:w="1940" w:type="dxa"/>
            <w:vMerge/>
            <w:vAlign w:val="center"/>
          </w:tcPr>
          <w:p w14:paraId="5DF4E56D" w14:textId="77777777" w:rsidR="00992759" w:rsidRPr="00370E78" w:rsidRDefault="00992759" w:rsidP="00992759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7125E57" w14:textId="1EA7D893" w:rsidR="00992759" w:rsidRPr="00370E78" w:rsidRDefault="0050048C" w:rsidP="00992759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50048C">
              <w:rPr>
                <w:rFonts w:ascii="Wingdings" w:eastAsia="Wingdings" w:hAnsi="Wingdings" w:cs="Wingdings"/>
                <w:bCs/>
                <w:color w:val="000000"/>
                <w:lang w:eastAsia="zh-CN"/>
              </w:rPr>
              <w:t></w:t>
            </w:r>
            <w:r w:rsidR="00992759" w:rsidRPr="00370E78">
              <w:rPr>
                <w:rFonts w:cs="宋体" w:hint="eastAsia"/>
                <w:bCs/>
                <w:color w:val="000000"/>
                <w:lang w:eastAsia="zh-CN"/>
              </w:rPr>
              <w:t xml:space="preserve"> 3</w:t>
            </w:r>
            <w:r w:rsidR="00992759" w:rsidRPr="00370E78">
              <w:rPr>
                <w:rFonts w:cs="宋体" w:hint="eastAsia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 w:rsidR="00992759" w:rsidRPr="00370E78"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 w:rsidR="00992759" w:rsidRPr="00370E78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992759" w:rsidRPr="00370E78" w14:paraId="678A8BCD" w14:textId="77777777" w:rsidTr="42313BE7">
        <w:trPr>
          <w:trHeight w:val="870"/>
        </w:trPr>
        <w:tc>
          <w:tcPr>
            <w:tcW w:w="1940" w:type="dxa"/>
            <w:vMerge/>
            <w:vAlign w:val="center"/>
          </w:tcPr>
          <w:p w14:paraId="18515FE0" w14:textId="77777777" w:rsidR="00992759" w:rsidRPr="00370E78" w:rsidRDefault="00992759" w:rsidP="00992759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4D7D81D" w14:textId="01A9D8AA" w:rsidR="00992759" w:rsidRPr="00370E78" w:rsidRDefault="00BD02A7" w:rsidP="00992759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70E78">
              <w:rPr>
                <w:rFonts w:ascii="Wingdings" w:eastAsia="Wingdings" w:hAnsi="Wingdings" w:cs="Wingdings" w:hint="eastAsia"/>
                <w:bCs/>
                <w:color w:val="000000"/>
                <w:lang w:eastAsia="zh-CN"/>
              </w:rPr>
              <w:t>o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 xml:space="preserve"> </w:t>
            </w:r>
            <w:r w:rsidR="00992759" w:rsidRPr="00370E78">
              <w:rPr>
                <w:rFonts w:cs="宋体" w:hint="eastAsia"/>
                <w:bCs/>
                <w:color w:val="000000"/>
                <w:lang w:eastAsia="zh-CN"/>
              </w:rPr>
              <w:t>4</w:t>
            </w:r>
            <w:r w:rsidR="00992759" w:rsidRPr="00370E78">
              <w:rPr>
                <w:rFonts w:cs="宋体" w:hint="eastAsia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992759" w:rsidRPr="00370E78" w14:paraId="5C7DBCBF" w14:textId="77777777" w:rsidTr="42313BE7">
        <w:trPr>
          <w:trHeight w:val="264"/>
        </w:trPr>
        <w:tc>
          <w:tcPr>
            <w:tcW w:w="1940" w:type="dxa"/>
            <w:vMerge/>
            <w:vAlign w:val="center"/>
          </w:tcPr>
          <w:p w14:paraId="49222B50" w14:textId="77777777" w:rsidR="00992759" w:rsidRPr="00370E78" w:rsidRDefault="00992759" w:rsidP="00992759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EE46EDC" w14:textId="3F50DA05" w:rsidR="00992759" w:rsidRPr="00370E78" w:rsidRDefault="00BD02A7" w:rsidP="00992759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ascii="Wingdings" w:eastAsia="Wingdings" w:hAnsi="Wingdings" w:cs="Wingdings" w:hint="eastAsia"/>
                <w:bCs/>
                <w:color w:val="000000"/>
                <w:lang w:eastAsia="zh-CN"/>
              </w:rPr>
              <w:t>þ</w:t>
            </w:r>
            <w:r w:rsidR="00992759">
              <w:rPr>
                <w:rFonts w:cs="宋体"/>
                <w:bCs/>
                <w:color w:val="000000"/>
                <w:lang w:eastAsia="zh-CN"/>
              </w:rPr>
              <w:t xml:space="preserve"> </w:t>
            </w:r>
            <w:r w:rsidR="00992759" w:rsidRPr="00370E78">
              <w:rPr>
                <w:rFonts w:cs="宋体" w:hint="eastAsia"/>
                <w:bCs/>
                <w:color w:val="000000"/>
                <w:lang w:eastAsia="zh-CN"/>
              </w:rPr>
              <w:t>5</w:t>
            </w:r>
            <w:r w:rsidR="00992759" w:rsidRPr="00370E78">
              <w:rPr>
                <w:rFonts w:cs="宋体" w:hint="eastAsia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992759" w:rsidRPr="00370E78" w14:paraId="4D996C9A" w14:textId="77777777" w:rsidTr="42313BE7">
        <w:trPr>
          <w:trHeight w:val="345"/>
        </w:trPr>
        <w:tc>
          <w:tcPr>
            <w:tcW w:w="1940" w:type="dxa"/>
            <w:vMerge/>
            <w:vAlign w:val="center"/>
          </w:tcPr>
          <w:p w14:paraId="5EBEC885" w14:textId="77777777" w:rsidR="00992759" w:rsidRPr="00370E78" w:rsidRDefault="00992759" w:rsidP="00992759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81F8E0D" w14:textId="0FBF21BB" w:rsidR="00992759" w:rsidRPr="00370E78" w:rsidRDefault="00992759" w:rsidP="00992759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70E78">
              <w:rPr>
                <w:rFonts w:ascii="Wingdings" w:eastAsia="Wingdings" w:hAnsi="Wingdings" w:cs="Wingdings" w:hint="eastAsia"/>
                <w:bCs/>
                <w:color w:val="000000"/>
                <w:lang w:eastAsia="zh-CN"/>
              </w:rPr>
              <w:t>o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 xml:space="preserve"> 6</w:t>
            </w:r>
            <w:r w:rsidRPr="00370E78">
              <w:rPr>
                <w:rFonts w:cs="宋体" w:hint="eastAsia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9D4530" w:rsidRPr="00370E78" w14:paraId="65CEA395" w14:textId="77777777" w:rsidTr="42313BE7">
        <w:trPr>
          <w:trHeight w:val="1250"/>
        </w:trPr>
        <w:tc>
          <w:tcPr>
            <w:tcW w:w="1940" w:type="dxa"/>
            <w:shd w:val="clear" w:color="auto" w:fill="D9D9D9" w:themeFill="background1" w:themeFillShade="D9"/>
            <w:vAlign w:val="center"/>
          </w:tcPr>
          <w:p w14:paraId="11E82EA8" w14:textId="77777777" w:rsidR="009D4530" w:rsidRPr="00370E78" w:rsidRDefault="009D4530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70E78">
              <w:rPr>
                <w:rFonts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1352AD4A" w14:textId="77777777" w:rsidR="009D4530" w:rsidRPr="00370E78" w:rsidRDefault="005D3152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 w:rsidRPr="00370E78">
              <w:rPr>
                <w:rFonts w:cs="宋体" w:hint="eastAsia"/>
                <w:bCs/>
                <w:color w:val="000000"/>
                <w:lang w:eastAsia="zh-CN"/>
              </w:rPr>
              <w:t>不适用</w:t>
            </w:r>
          </w:p>
        </w:tc>
      </w:tr>
    </w:tbl>
    <w:p w14:paraId="436671B5" w14:textId="77777777" w:rsidR="009D4530" w:rsidRDefault="009D4530">
      <w:pPr>
        <w:pStyle w:val="BodyText"/>
        <w:adjustRightInd w:val="0"/>
        <w:snapToGrid w:val="0"/>
        <w:spacing w:after="0"/>
        <w:rPr>
          <w:rFonts w:ascii="Arial" w:eastAsia="楷体_GB2312" w:hAnsi="Arial" w:cs="Arial"/>
          <w:b/>
          <w:color w:val="000000"/>
          <w:sz w:val="22"/>
          <w:szCs w:val="22"/>
          <w:lang w:eastAsia="zh-CN"/>
        </w:rPr>
      </w:pPr>
    </w:p>
    <w:sectPr w:rsidR="009D4530">
      <w:footerReference w:type="default" r:id="rId7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D4644" w14:textId="77777777" w:rsidR="003F1D5A" w:rsidRDefault="003F1D5A">
      <w:pPr>
        <w:spacing w:after="0"/>
      </w:pPr>
      <w:r>
        <w:separator/>
      </w:r>
    </w:p>
  </w:endnote>
  <w:endnote w:type="continuationSeparator" w:id="0">
    <w:p w14:paraId="38EE1CD6" w14:textId="77777777" w:rsidR="003F1D5A" w:rsidRDefault="003F1D5A">
      <w:pPr>
        <w:spacing w:after="0"/>
      </w:pPr>
      <w:r>
        <w:continuationSeparator/>
      </w:r>
    </w:p>
  </w:endnote>
  <w:endnote w:type="continuationNotice" w:id="1">
    <w:p w14:paraId="04CE99A3" w14:textId="77777777" w:rsidR="003F1D5A" w:rsidRDefault="003F1D5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Microsoft YaHe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Microsoft YaHei Light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3007"/>
      <w:gridCol w:w="3011"/>
      <w:gridCol w:w="3008"/>
    </w:tblGrid>
    <w:tr w:rsidR="009D4530" w14:paraId="0D9B5E04" w14:textId="77777777">
      <w:tc>
        <w:tcPr>
          <w:tcW w:w="3080" w:type="dxa"/>
        </w:tcPr>
        <w:p w14:paraId="7BAEAA96" w14:textId="77777777" w:rsidR="009D4530" w:rsidRDefault="009D4530">
          <w:pPr>
            <w:pStyle w:val="Footer"/>
          </w:pPr>
        </w:p>
      </w:tc>
      <w:tc>
        <w:tcPr>
          <w:tcW w:w="3081" w:type="dxa"/>
        </w:tcPr>
        <w:p w14:paraId="76D33799" w14:textId="77777777" w:rsidR="009D4530" w:rsidRDefault="009D4530">
          <w:pPr>
            <w:pStyle w:val="Footer"/>
            <w:jc w:val="center"/>
            <w:rPr>
              <w:rStyle w:val="PageNumber"/>
              <w:rFonts w:cs="Times New Roman"/>
            </w:rPr>
          </w:pPr>
          <w:r>
            <w:rPr>
              <w:rStyle w:val="PageNumber"/>
              <w:rFonts w:cs="Times New Roman"/>
            </w:rPr>
            <w:t xml:space="preserve">- </w:t>
          </w:r>
          <w:r>
            <w:rPr>
              <w:rStyle w:val="PageNumber"/>
              <w:rFonts w:cs="Times New Roman"/>
            </w:rPr>
            <w:fldChar w:fldCharType="begin"/>
          </w:r>
          <w:r>
            <w:rPr>
              <w:rStyle w:val="PageNumber"/>
              <w:rFonts w:cs="Times New Roman"/>
            </w:rPr>
            <w:instrText xml:space="preserve"> PAGE   \* MERGEFORMAT </w:instrText>
          </w:r>
          <w:r>
            <w:rPr>
              <w:rStyle w:val="PageNumber"/>
              <w:rFonts w:cs="Times New Roman"/>
            </w:rPr>
            <w:fldChar w:fldCharType="separate"/>
          </w:r>
          <w:r>
            <w:rPr>
              <w:rStyle w:val="PageNumber"/>
              <w:rFonts w:cs="Times New Roman"/>
            </w:rPr>
            <w:t>2</w:t>
          </w:r>
          <w:r>
            <w:rPr>
              <w:rStyle w:val="PageNumber"/>
              <w:rFonts w:cs="Times New Roman"/>
            </w:rPr>
            <w:fldChar w:fldCharType="end"/>
          </w:r>
          <w:r>
            <w:rPr>
              <w:rStyle w:val="PageNumber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2008D335" w14:textId="77777777" w:rsidR="009D4530" w:rsidRDefault="009D4530">
          <w:pPr>
            <w:pStyle w:val="FooterRight"/>
          </w:pPr>
        </w:p>
      </w:tc>
    </w:tr>
  </w:tbl>
  <w:p w14:paraId="1C72770D" w14:textId="77777777" w:rsidR="009D4530" w:rsidRDefault="009D4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CE64" w14:textId="77777777" w:rsidR="003F1D5A" w:rsidRDefault="003F1D5A">
      <w:pPr>
        <w:spacing w:after="0"/>
      </w:pPr>
      <w:r>
        <w:separator/>
      </w:r>
    </w:p>
  </w:footnote>
  <w:footnote w:type="continuationSeparator" w:id="0">
    <w:p w14:paraId="5E6A3883" w14:textId="77777777" w:rsidR="003F1D5A" w:rsidRDefault="003F1D5A">
      <w:pPr>
        <w:spacing w:after="0"/>
      </w:pPr>
      <w:r>
        <w:continuationSeparator/>
      </w:r>
    </w:p>
  </w:footnote>
  <w:footnote w:type="continuationNotice" w:id="1">
    <w:p w14:paraId="1C8DF8C6" w14:textId="77777777" w:rsidR="003F1D5A" w:rsidRDefault="003F1D5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775101936">
    <w:abstractNumId w:val="2"/>
  </w:num>
  <w:num w:numId="2" w16cid:durableId="1112749239">
    <w:abstractNumId w:val="0"/>
  </w:num>
  <w:num w:numId="3" w16cid:durableId="1027290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2445"/>
    <w:rsid w:val="000024FF"/>
    <w:rsid w:val="000027BD"/>
    <w:rsid w:val="0001497F"/>
    <w:rsid w:val="000150B7"/>
    <w:rsid w:val="00021AB2"/>
    <w:rsid w:val="000222C4"/>
    <w:rsid w:val="000326C8"/>
    <w:rsid w:val="00041C40"/>
    <w:rsid w:val="0004292A"/>
    <w:rsid w:val="000467AA"/>
    <w:rsid w:val="00051C2C"/>
    <w:rsid w:val="00051CFC"/>
    <w:rsid w:val="00052841"/>
    <w:rsid w:val="00062616"/>
    <w:rsid w:val="00073E6B"/>
    <w:rsid w:val="0007723F"/>
    <w:rsid w:val="00077D60"/>
    <w:rsid w:val="00083590"/>
    <w:rsid w:val="00092F4E"/>
    <w:rsid w:val="00097775"/>
    <w:rsid w:val="000B58E5"/>
    <w:rsid w:val="000B653C"/>
    <w:rsid w:val="000C53C5"/>
    <w:rsid w:val="000C6953"/>
    <w:rsid w:val="000E29A9"/>
    <w:rsid w:val="000E3A81"/>
    <w:rsid w:val="000E5FE7"/>
    <w:rsid w:val="000F394E"/>
    <w:rsid w:val="00102B2C"/>
    <w:rsid w:val="00107E19"/>
    <w:rsid w:val="00110793"/>
    <w:rsid w:val="00115F62"/>
    <w:rsid w:val="00123E26"/>
    <w:rsid w:val="00132767"/>
    <w:rsid w:val="00136343"/>
    <w:rsid w:val="00142CA5"/>
    <w:rsid w:val="00145B05"/>
    <w:rsid w:val="00151256"/>
    <w:rsid w:val="00161051"/>
    <w:rsid w:val="001639D8"/>
    <w:rsid w:val="00172770"/>
    <w:rsid w:val="00174887"/>
    <w:rsid w:val="00186A05"/>
    <w:rsid w:val="00187026"/>
    <w:rsid w:val="001965E2"/>
    <w:rsid w:val="00196662"/>
    <w:rsid w:val="001B3349"/>
    <w:rsid w:val="001B4EA1"/>
    <w:rsid w:val="001C5840"/>
    <w:rsid w:val="001D1555"/>
    <w:rsid w:val="001D4AB6"/>
    <w:rsid w:val="001D6168"/>
    <w:rsid w:val="001E0F1F"/>
    <w:rsid w:val="001F346E"/>
    <w:rsid w:val="001F35AA"/>
    <w:rsid w:val="001F367B"/>
    <w:rsid w:val="001F7FEC"/>
    <w:rsid w:val="002049B7"/>
    <w:rsid w:val="002145A1"/>
    <w:rsid w:val="00224A7C"/>
    <w:rsid w:val="002278D1"/>
    <w:rsid w:val="00231665"/>
    <w:rsid w:val="002320BC"/>
    <w:rsid w:val="00232302"/>
    <w:rsid w:val="00233737"/>
    <w:rsid w:val="002403B5"/>
    <w:rsid w:val="002436D6"/>
    <w:rsid w:val="00245281"/>
    <w:rsid w:val="00250E61"/>
    <w:rsid w:val="0025231D"/>
    <w:rsid w:val="00260513"/>
    <w:rsid w:val="00261F94"/>
    <w:rsid w:val="00264877"/>
    <w:rsid w:val="00267941"/>
    <w:rsid w:val="002764EB"/>
    <w:rsid w:val="00286959"/>
    <w:rsid w:val="00287E91"/>
    <w:rsid w:val="00291652"/>
    <w:rsid w:val="00292A70"/>
    <w:rsid w:val="002964A1"/>
    <w:rsid w:val="002A25F2"/>
    <w:rsid w:val="002A7291"/>
    <w:rsid w:val="002A7C26"/>
    <w:rsid w:val="002D1AB8"/>
    <w:rsid w:val="002D4391"/>
    <w:rsid w:val="002D7975"/>
    <w:rsid w:val="002E0B7D"/>
    <w:rsid w:val="002F09A7"/>
    <w:rsid w:val="002F5271"/>
    <w:rsid w:val="00306B88"/>
    <w:rsid w:val="00310488"/>
    <w:rsid w:val="0031083E"/>
    <w:rsid w:val="00311263"/>
    <w:rsid w:val="0031715F"/>
    <w:rsid w:val="00336CF5"/>
    <w:rsid w:val="0034107F"/>
    <w:rsid w:val="00344D27"/>
    <w:rsid w:val="00352492"/>
    <w:rsid w:val="00352831"/>
    <w:rsid w:val="003540C8"/>
    <w:rsid w:val="0035604C"/>
    <w:rsid w:val="00370E78"/>
    <w:rsid w:val="00371332"/>
    <w:rsid w:val="00371A75"/>
    <w:rsid w:val="00377181"/>
    <w:rsid w:val="003771E5"/>
    <w:rsid w:val="00380B2F"/>
    <w:rsid w:val="003850D4"/>
    <w:rsid w:val="00385F00"/>
    <w:rsid w:val="003866EF"/>
    <w:rsid w:val="00394AE1"/>
    <w:rsid w:val="003A4565"/>
    <w:rsid w:val="003A5B9A"/>
    <w:rsid w:val="003B27EC"/>
    <w:rsid w:val="003B2F86"/>
    <w:rsid w:val="003B4439"/>
    <w:rsid w:val="003B4C9E"/>
    <w:rsid w:val="003B7CBC"/>
    <w:rsid w:val="003C0F65"/>
    <w:rsid w:val="003C3456"/>
    <w:rsid w:val="003D5C91"/>
    <w:rsid w:val="003E3B57"/>
    <w:rsid w:val="003E6E79"/>
    <w:rsid w:val="003E73DB"/>
    <w:rsid w:val="003F1D5A"/>
    <w:rsid w:val="004067A3"/>
    <w:rsid w:val="0041057D"/>
    <w:rsid w:val="00410914"/>
    <w:rsid w:val="004119F5"/>
    <w:rsid w:val="00411A0C"/>
    <w:rsid w:val="0041316D"/>
    <w:rsid w:val="004138B0"/>
    <w:rsid w:val="004166B2"/>
    <w:rsid w:val="004203EF"/>
    <w:rsid w:val="00427E52"/>
    <w:rsid w:val="00432493"/>
    <w:rsid w:val="00435573"/>
    <w:rsid w:val="00446353"/>
    <w:rsid w:val="0044739B"/>
    <w:rsid w:val="0045318F"/>
    <w:rsid w:val="00456E57"/>
    <w:rsid w:val="00464458"/>
    <w:rsid w:val="004662BD"/>
    <w:rsid w:val="00466711"/>
    <w:rsid w:val="00467A6B"/>
    <w:rsid w:val="00475F7F"/>
    <w:rsid w:val="00481F5E"/>
    <w:rsid w:val="004846A7"/>
    <w:rsid w:val="0049707A"/>
    <w:rsid w:val="004973DB"/>
    <w:rsid w:val="0049771A"/>
    <w:rsid w:val="004A2925"/>
    <w:rsid w:val="004A4BF1"/>
    <w:rsid w:val="004C21B9"/>
    <w:rsid w:val="004C3420"/>
    <w:rsid w:val="004C705B"/>
    <w:rsid w:val="004D018B"/>
    <w:rsid w:val="004D124C"/>
    <w:rsid w:val="004D1466"/>
    <w:rsid w:val="004D4435"/>
    <w:rsid w:val="004F4E1A"/>
    <w:rsid w:val="0050048C"/>
    <w:rsid w:val="00501D37"/>
    <w:rsid w:val="00503F45"/>
    <w:rsid w:val="005105F8"/>
    <w:rsid w:val="00512A53"/>
    <w:rsid w:val="00515612"/>
    <w:rsid w:val="005168C9"/>
    <w:rsid w:val="0052362B"/>
    <w:rsid w:val="00523905"/>
    <w:rsid w:val="005251B9"/>
    <w:rsid w:val="00530BB4"/>
    <w:rsid w:val="00535E36"/>
    <w:rsid w:val="0054528F"/>
    <w:rsid w:val="00545A47"/>
    <w:rsid w:val="00566859"/>
    <w:rsid w:val="0057004E"/>
    <w:rsid w:val="00571729"/>
    <w:rsid w:val="0057200D"/>
    <w:rsid w:val="005911E8"/>
    <w:rsid w:val="00591CEC"/>
    <w:rsid w:val="00596045"/>
    <w:rsid w:val="005A31C9"/>
    <w:rsid w:val="005B0CEB"/>
    <w:rsid w:val="005B18A3"/>
    <w:rsid w:val="005B2A1C"/>
    <w:rsid w:val="005C3C0D"/>
    <w:rsid w:val="005D1CF4"/>
    <w:rsid w:val="005D277C"/>
    <w:rsid w:val="005D2EE8"/>
    <w:rsid w:val="005D3152"/>
    <w:rsid w:val="005D6D17"/>
    <w:rsid w:val="005E4D0D"/>
    <w:rsid w:val="005E7B2F"/>
    <w:rsid w:val="005F3FCE"/>
    <w:rsid w:val="005F5280"/>
    <w:rsid w:val="005F7223"/>
    <w:rsid w:val="0060413B"/>
    <w:rsid w:val="00605C48"/>
    <w:rsid w:val="00605EE6"/>
    <w:rsid w:val="0060669E"/>
    <w:rsid w:val="00607660"/>
    <w:rsid w:val="00614EBB"/>
    <w:rsid w:val="0061583E"/>
    <w:rsid w:val="00617BCA"/>
    <w:rsid w:val="00630B5A"/>
    <w:rsid w:val="0063149C"/>
    <w:rsid w:val="00632159"/>
    <w:rsid w:val="00645B6A"/>
    <w:rsid w:val="00647CB4"/>
    <w:rsid w:val="00655225"/>
    <w:rsid w:val="00664174"/>
    <w:rsid w:val="006643EA"/>
    <w:rsid w:val="00672AE2"/>
    <w:rsid w:val="0067348D"/>
    <w:rsid w:val="006745A9"/>
    <w:rsid w:val="0068175E"/>
    <w:rsid w:val="00682729"/>
    <w:rsid w:val="00690D46"/>
    <w:rsid w:val="00696BE0"/>
    <w:rsid w:val="006B24E8"/>
    <w:rsid w:val="006B4541"/>
    <w:rsid w:val="006B4808"/>
    <w:rsid w:val="006C0B53"/>
    <w:rsid w:val="006C1989"/>
    <w:rsid w:val="006C2999"/>
    <w:rsid w:val="006C2B18"/>
    <w:rsid w:val="006D1E2B"/>
    <w:rsid w:val="006D7DEC"/>
    <w:rsid w:val="006E0D98"/>
    <w:rsid w:val="006E3180"/>
    <w:rsid w:val="006E6B19"/>
    <w:rsid w:val="006E6E26"/>
    <w:rsid w:val="006E70AA"/>
    <w:rsid w:val="006F3DF3"/>
    <w:rsid w:val="006F7A98"/>
    <w:rsid w:val="007029CB"/>
    <w:rsid w:val="00705778"/>
    <w:rsid w:val="00706D91"/>
    <w:rsid w:val="00711BA4"/>
    <w:rsid w:val="0071373B"/>
    <w:rsid w:val="00720F7B"/>
    <w:rsid w:val="00726B19"/>
    <w:rsid w:val="00727BD0"/>
    <w:rsid w:val="007373F0"/>
    <w:rsid w:val="00742AFE"/>
    <w:rsid w:val="00742EDF"/>
    <w:rsid w:val="00751420"/>
    <w:rsid w:val="0076010D"/>
    <w:rsid w:val="007674D7"/>
    <w:rsid w:val="00772298"/>
    <w:rsid w:val="00773ED5"/>
    <w:rsid w:val="00782C64"/>
    <w:rsid w:val="007858DA"/>
    <w:rsid w:val="00794062"/>
    <w:rsid w:val="00797584"/>
    <w:rsid w:val="007A2D94"/>
    <w:rsid w:val="007B2294"/>
    <w:rsid w:val="007B651A"/>
    <w:rsid w:val="007B6ED8"/>
    <w:rsid w:val="007B75E4"/>
    <w:rsid w:val="007C512C"/>
    <w:rsid w:val="007D2BCD"/>
    <w:rsid w:val="007E2608"/>
    <w:rsid w:val="007F1726"/>
    <w:rsid w:val="007F1DB3"/>
    <w:rsid w:val="0080200E"/>
    <w:rsid w:val="00803A33"/>
    <w:rsid w:val="008051ED"/>
    <w:rsid w:val="00810B10"/>
    <w:rsid w:val="00811775"/>
    <w:rsid w:val="008244DB"/>
    <w:rsid w:val="008248B2"/>
    <w:rsid w:val="008345AC"/>
    <w:rsid w:val="00834D88"/>
    <w:rsid w:val="00835E39"/>
    <w:rsid w:val="0084008B"/>
    <w:rsid w:val="00850FA7"/>
    <w:rsid w:val="008545EB"/>
    <w:rsid w:val="008570D5"/>
    <w:rsid w:val="00864085"/>
    <w:rsid w:val="008803D0"/>
    <w:rsid w:val="00880F24"/>
    <w:rsid w:val="008836AF"/>
    <w:rsid w:val="008847B9"/>
    <w:rsid w:val="00885C9B"/>
    <w:rsid w:val="00893879"/>
    <w:rsid w:val="008A2037"/>
    <w:rsid w:val="008B2172"/>
    <w:rsid w:val="008B3C0A"/>
    <w:rsid w:val="008C0D86"/>
    <w:rsid w:val="008D4ED8"/>
    <w:rsid w:val="008D644E"/>
    <w:rsid w:val="008D6621"/>
    <w:rsid w:val="008E5BCA"/>
    <w:rsid w:val="008F1D6B"/>
    <w:rsid w:val="008F7B8A"/>
    <w:rsid w:val="009022B0"/>
    <w:rsid w:val="00905F4A"/>
    <w:rsid w:val="00912401"/>
    <w:rsid w:val="009145E4"/>
    <w:rsid w:val="0092634A"/>
    <w:rsid w:val="009301D9"/>
    <w:rsid w:val="00930B94"/>
    <w:rsid w:val="00930E4C"/>
    <w:rsid w:val="00933FD7"/>
    <w:rsid w:val="00936205"/>
    <w:rsid w:val="0094346F"/>
    <w:rsid w:val="00943F02"/>
    <w:rsid w:val="00947648"/>
    <w:rsid w:val="00953187"/>
    <w:rsid w:val="009551E9"/>
    <w:rsid w:val="0096333E"/>
    <w:rsid w:val="00964243"/>
    <w:rsid w:val="0096547A"/>
    <w:rsid w:val="009668EC"/>
    <w:rsid w:val="00977C3B"/>
    <w:rsid w:val="009901B5"/>
    <w:rsid w:val="00992759"/>
    <w:rsid w:val="009A0BCC"/>
    <w:rsid w:val="009A2EFA"/>
    <w:rsid w:val="009A57C5"/>
    <w:rsid w:val="009A6CD4"/>
    <w:rsid w:val="009A6E66"/>
    <w:rsid w:val="009B0211"/>
    <w:rsid w:val="009B085D"/>
    <w:rsid w:val="009B52FB"/>
    <w:rsid w:val="009C16F8"/>
    <w:rsid w:val="009C1DE7"/>
    <w:rsid w:val="009C3639"/>
    <w:rsid w:val="009C5625"/>
    <w:rsid w:val="009C5962"/>
    <w:rsid w:val="009C6B45"/>
    <w:rsid w:val="009C74BD"/>
    <w:rsid w:val="009D0999"/>
    <w:rsid w:val="009D4530"/>
    <w:rsid w:val="009E7E51"/>
    <w:rsid w:val="009F0698"/>
    <w:rsid w:val="00A05705"/>
    <w:rsid w:val="00A07EFB"/>
    <w:rsid w:val="00A16F03"/>
    <w:rsid w:val="00A21136"/>
    <w:rsid w:val="00A3323A"/>
    <w:rsid w:val="00A343B7"/>
    <w:rsid w:val="00A4535F"/>
    <w:rsid w:val="00A46C66"/>
    <w:rsid w:val="00A46FAF"/>
    <w:rsid w:val="00A52D6E"/>
    <w:rsid w:val="00A54FE7"/>
    <w:rsid w:val="00A5674A"/>
    <w:rsid w:val="00A623EF"/>
    <w:rsid w:val="00A64F91"/>
    <w:rsid w:val="00A72A43"/>
    <w:rsid w:val="00A7438D"/>
    <w:rsid w:val="00A74797"/>
    <w:rsid w:val="00A7601D"/>
    <w:rsid w:val="00A81984"/>
    <w:rsid w:val="00A8435B"/>
    <w:rsid w:val="00A85661"/>
    <w:rsid w:val="00A868E9"/>
    <w:rsid w:val="00A94227"/>
    <w:rsid w:val="00A9467E"/>
    <w:rsid w:val="00AA0F23"/>
    <w:rsid w:val="00AA3E2F"/>
    <w:rsid w:val="00AA46CA"/>
    <w:rsid w:val="00AA4C6C"/>
    <w:rsid w:val="00AA535B"/>
    <w:rsid w:val="00AA5F00"/>
    <w:rsid w:val="00AC3273"/>
    <w:rsid w:val="00AC68C4"/>
    <w:rsid w:val="00AD310D"/>
    <w:rsid w:val="00AD3D4D"/>
    <w:rsid w:val="00AE0807"/>
    <w:rsid w:val="00AE0BC6"/>
    <w:rsid w:val="00AE4069"/>
    <w:rsid w:val="00AE7916"/>
    <w:rsid w:val="00AF09EA"/>
    <w:rsid w:val="00AF1D6D"/>
    <w:rsid w:val="00AF5632"/>
    <w:rsid w:val="00AF6B25"/>
    <w:rsid w:val="00B04913"/>
    <w:rsid w:val="00B117FE"/>
    <w:rsid w:val="00B11857"/>
    <w:rsid w:val="00B16581"/>
    <w:rsid w:val="00B2169A"/>
    <w:rsid w:val="00B266CA"/>
    <w:rsid w:val="00B273A1"/>
    <w:rsid w:val="00B31D4D"/>
    <w:rsid w:val="00B3616B"/>
    <w:rsid w:val="00B37633"/>
    <w:rsid w:val="00B40143"/>
    <w:rsid w:val="00B40A9E"/>
    <w:rsid w:val="00B41094"/>
    <w:rsid w:val="00B46F09"/>
    <w:rsid w:val="00B518C9"/>
    <w:rsid w:val="00B52EAC"/>
    <w:rsid w:val="00B54969"/>
    <w:rsid w:val="00B7054D"/>
    <w:rsid w:val="00B70E43"/>
    <w:rsid w:val="00B80B9E"/>
    <w:rsid w:val="00B838DA"/>
    <w:rsid w:val="00B86E3A"/>
    <w:rsid w:val="00B95336"/>
    <w:rsid w:val="00BA017F"/>
    <w:rsid w:val="00BD02A7"/>
    <w:rsid w:val="00BD5117"/>
    <w:rsid w:val="00BD535F"/>
    <w:rsid w:val="00BE6E64"/>
    <w:rsid w:val="00BF31B7"/>
    <w:rsid w:val="00BF4F99"/>
    <w:rsid w:val="00C03116"/>
    <w:rsid w:val="00C07030"/>
    <w:rsid w:val="00C10048"/>
    <w:rsid w:val="00C30E9B"/>
    <w:rsid w:val="00C410C3"/>
    <w:rsid w:val="00C424FC"/>
    <w:rsid w:val="00C51ECC"/>
    <w:rsid w:val="00C600D9"/>
    <w:rsid w:val="00C64BD2"/>
    <w:rsid w:val="00C67ADA"/>
    <w:rsid w:val="00C810E8"/>
    <w:rsid w:val="00C847C2"/>
    <w:rsid w:val="00C91F56"/>
    <w:rsid w:val="00C941AA"/>
    <w:rsid w:val="00C97F03"/>
    <w:rsid w:val="00CA2759"/>
    <w:rsid w:val="00CA6613"/>
    <w:rsid w:val="00CC3ABB"/>
    <w:rsid w:val="00CC64A7"/>
    <w:rsid w:val="00CC69AD"/>
    <w:rsid w:val="00CD19FF"/>
    <w:rsid w:val="00CF1664"/>
    <w:rsid w:val="00CF5A8A"/>
    <w:rsid w:val="00CF684C"/>
    <w:rsid w:val="00CF6BC5"/>
    <w:rsid w:val="00D01278"/>
    <w:rsid w:val="00D12499"/>
    <w:rsid w:val="00D12AB1"/>
    <w:rsid w:val="00D23B36"/>
    <w:rsid w:val="00D26CE2"/>
    <w:rsid w:val="00D27AEB"/>
    <w:rsid w:val="00D27EE3"/>
    <w:rsid w:val="00D44C7C"/>
    <w:rsid w:val="00D5389C"/>
    <w:rsid w:val="00D53BAE"/>
    <w:rsid w:val="00D57781"/>
    <w:rsid w:val="00D57DBA"/>
    <w:rsid w:val="00D57EBC"/>
    <w:rsid w:val="00D604A8"/>
    <w:rsid w:val="00D71F76"/>
    <w:rsid w:val="00D77095"/>
    <w:rsid w:val="00D80573"/>
    <w:rsid w:val="00D84404"/>
    <w:rsid w:val="00D87050"/>
    <w:rsid w:val="00D942EE"/>
    <w:rsid w:val="00D94BB1"/>
    <w:rsid w:val="00D954C0"/>
    <w:rsid w:val="00D961C9"/>
    <w:rsid w:val="00D97B80"/>
    <w:rsid w:val="00DA1D73"/>
    <w:rsid w:val="00DB2761"/>
    <w:rsid w:val="00DB2FF6"/>
    <w:rsid w:val="00DB524F"/>
    <w:rsid w:val="00DC1C3E"/>
    <w:rsid w:val="00DC6DC6"/>
    <w:rsid w:val="00DD0E0C"/>
    <w:rsid w:val="00DD7765"/>
    <w:rsid w:val="00DE3C70"/>
    <w:rsid w:val="00DE522D"/>
    <w:rsid w:val="00E04F15"/>
    <w:rsid w:val="00E0710B"/>
    <w:rsid w:val="00E120B6"/>
    <w:rsid w:val="00E23955"/>
    <w:rsid w:val="00E36DF6"/>
    <w:rsid w:val="00E417DF"/>
    <w:rsid w:val="00E42BC6"/>
    <w:rsid w:val="00E47327"/>
    <w:rsid w:val="00E5224C"/>
    <w:rsid w:val="00E6077C"/>
    <w:rsid w:val="00E736B8"/>
    <w:rsid w:val="00E7385D"/>
    <w:rsid w:val="00E774D9"/>
    <w:rsid w:val="00E86579"/>
    <w:rsid w:val="00E90A19"/>
    <w:rsid w:val="00E92DC0"/>
    <w:rsid w:val="00E974F8"/>
    <w:rsid w:val="00EA79DA"/>
    <w:rsid w:val="00EC5358"/>
    <w:rsid w:val="00EC636E"/>
    <w:rsid w:val="00EC7E55"/>
    <w:rsid w:val="00ED6F93"/>
    <w:rsid w:val="00EE7CB8"/>
    <w:rsid w:val="00EF16FB"/>
    <w:rsid w:val="00EF428F"/>
    <w:rsid w:val="00F02216"/>
    <w:rsid w:val="00F0291C"/>
    <w:rsid w:val="00F101DD"/>
    <w:rsid w:val="00F14193"/>
    <w:rsid w:val="00F14D59"/>
    <w:rsid w:val="00F20CCE"/>
    <w:rsid w:val="00F333E6"/>
    <w:rsid w:val="00F34AF4"/>
    <w:rsid w:val="00F3614E"/>
    <w:rsid w:val="00F4231B"/>
    <w:rsid w:val="00F52B06"/>
    <w:rsid w:val="00F54AAB"/>
    <w:rsid w:val="00F56870"/>
    <w:rsid w:val="00F576E0"/>
    <w:rsid w:val="00F6440C"/>
    <w:rsid w:val="00F7182A"/>
    <w:rsid w:val="00F8302C"/>
    <w:rsid w:val="00F901CF"/>
    <w:rsid w:val="00F906EF"/>
    <w:rsid w:val="00F913ED"/>
    <w:rsid w:val="00F96C49"/>
    <w:rsid w:val="00FB2542"/>
    <w:rsid w:val="00FB33FD"/>
    <w:rsid w:val="00FB5E84"/>
    <w:rsid w:val="00FB645E"/>
    <w:rsid w:val="00FC35ED"/>
    <w:rsid w:val="00FD6CD9"/>
    <w:rsid w:val="00FE20D9"/>
    <w:rsid w:val="00FE6B3A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313BE7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502A4B"/>
  <w15:chartTrackingRefBased/>
  <w15:docId w15:val="{12BEF550-E1BA-46CD-956E-9E1F2435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jc w:val="both"/>
    </w:pPr>
    <w:rPr>
      <w:sz w:val="24"/>
      <w:szCs w:val="24"/>
      <w:lang w:bidi="ar-AE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  <w:rPr>
      <w:rFonts w:cs="Simplified Arabic"/>
    </w:rPr>
  </w:style>
  <w:style w:type="paragraph" w:styleId="Heading2">
    <w:name w:val="heading 2"/>
    <w:basedOn w:val="Normal"/>
    <w:next w:val="BodyText"/>
    <w:link w:val="Heading2Char"/>
    <w:qFormat/>
    <w:pPr>
      <w:outlineLvl w:val="1"/>
    </w:pPr>
    <w:rPr>
      <w:rFonts w:cs="Simplified Arabic"/>
    </w:rPr>
  </w:style>
  <w:style w:type="paragraph" w:styleId="Heading3">
    <w:name w:val="heading 3"/>
    <w:basedOn w:val="Heading2"/>
    <w:next w:val="BodyText"/>
    <w:link w:val="Heading3Char"/>
    <w:qFormat/>
    <w:pPr>
      <w:outlineLvl w:val="2"/>
    </w:pPr>
  </w:style>
  <w:style w:type="paragraph" w:styleId="Heading4">
    <w:name w:val="heading 4"/>
    <w:basedOn w:val="Normal"/>
    <w:next w:val="BodyText"/>
    <w:link w:val="Heading4Char"/>
    <w:qFormat/>
    <w:pPr>
      <w:outlineLvl w:val="3"/>
    </w:pPr>
    <w:rPr>
      <w:rFonts w:cs="Simplified Arabic"/>
    </w:rPr>
  </w:style>
  <w:style w:type="paragraph" w:styleId="Heading5">
    <w:name w:val="heading 5"/>
    <w:basedOn w:val="Normal"/>
    <w:next w:val="BodyText"/>
    <w:link w:val="Heading5Char"/>
    <w:qFormat/>
    <w:pPr>
      <w:outlineLvl w:val="4"/>
    </w:pPr>
    <w:rPr>
      <w:rFonts w:cs="Simplified Arabic"/>
    </w:rPr>
  </w:style>
  <w:style w:type="paragraph" w:styleId="Heading6">
    <w:name w:val="heading 6"/>
    <w:basedOn w:val="Normal"/>
    <w:next w:val="BodyText"/>
    <w:link w:val="Heading6Char"/>
    <w:qFormat/>
    <w:pPr>
      <w:outlineLvl w:val="5"/>
    </w:pPr>
    <w:rPr>
      <w:rFonts w:cs="Simplified Arabic"/>
    </w:rPr>
  </w:style>
  <w:style w:type="paragraph" w:styleId="Heading7">
    <w:name w:val="heading 7"/>
    <w:basedOn w:val="Normal"/>
    <w:next w:val="BodyText"/>
    <w:link w:val="Heading7Char"/>
    <w:qFormat/>
    <w:pPr>
      <w:outlineLvl w:val="6"/>
    </w:pPr>
    <w:rPr>
      <w:rFonts w:cs="Simplified Arabic"/>
    </w:rPr>
  </w:style>
  <w:style w:type="paragraph" w:styleId="Heading8">
    <w:name w:val="heading 8"/>
    <w:basedOn w:val="Normal"/>
    <w:next w:val="BodyText"/>
    <w:link w:val="Heading8Char"/>
    <w:qFormat/>
    <w:pPr>
      <w:outlineLvl w:val="7"/>
    </w:pPr>
    <w:rPr>
      <w:rFonts w:cs="Simplified Arabic"/>
    </w:rPr>
  </w:style>
  <w:style w:type="paragraph" w:styleId="Heading9">
    <w:name w:val="heading 9"/>
    <w:basedOn w:val="Normal"/>
    <w:next w:val="BodyText"/>
    <w:link w:val="Heading9Char"/>
    <w:qFormat/>
    <w:pPr>
      <w:outlineLvl w:val="8"/>
    </w:pPr>
    <w:rPr>
      <w:rFonts w:cs="Simplified Arab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bidi="ar-AE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val="en-GB" w:eastAsia="zh-CN" w:bidi="ar-AE"/>
    </w:rPr>
  </w:style>
  <w:style w:type="character" w:customStyle="1" w:styleId="Heading1Char">
    <w:name w:val="Heading 1 Char"/>
    <w:link w:val="Heading1"/>
    <w:rPr>
      <w:sz w:val="24"/>
      <w:szCs w:val="24"/>
      <w:lang w:bidi="ar-AE"/>
    </w:rPr>
  </w:style>
  <w:style w:type="character" w:customStyle="1" w:styleId="Heading2Char">
    <w:name w:val="Heading 2 Char"/>
    <w:link w:val="Heading2"/>
    <w:rPr>
      <w:sz w:val="24"/>
      <w:szCs w:val="24"/>
      <w:lang w:bidi="ar-AE"/>
    </w:rPr>
  </w:style>
  <w:style w:type="paragraph" w:styleId="BodyText">
    <w:name w:val="Body Text"/>
    <w:basedOn w:val="Normal"/>
    <w:link w:val="BodyTextChar"/>
    <w:rPr>
      <w:rFonts w:cs="Simplified Arabic"/>
      <w:lang w:eastAsia="en-GB"/>
    </w:rPr>
  </w:style>
  <w:style w:type="character" w:customStyle="1" w:styleId="BodyTextChar">
    <w:name w:val="Body Text Char"/>
    <w:link w:val="BodyText"/>
    <w:rPr>
      <w:sz w:val="24"/>
      <w:szCs w:val="24"/>
      <w:lang w:eastAsia="en-GB" w:bidi="ar-AE"/>
    </w:rPr>
  </w:style>
  <w:style w:type="character" w:customStyle="1" w:styleId="Heading3Char">
    <w:name w:val="Heading 3 Char"/>
    <w:link w:val="Heading3"/>
    <w:rPr>
      <w:sz w:val="24"/>
      <w:szCs w:val="24"/>
      <w:lang w:bidi="ar-AE"/>
    </w:rPr>
  </w:style>
  <w:style w:type="character" w:customStyle="1" w:styleId="Heading4Char">
    <w:name w:val="Heading 4 Char"/>
    <w:link w:val="Heading4"/>
    <w:rPr>
      <w:sz w:val="24"/>
      <w:szCs w:val="24"/>
      <w:lang w:bidi="ar-AE"/>
    </w:rPr>
  </w:style>
  <w:style w:type="character" w:customStyle="1" w:styleId="Heading5Char">
    <w:name w:val="Heading 5 Char"/>
    <w:link w:val="Heading5"/>
    <w:rPr>
      <w:sz w:val="24"/>
      <w:szCs w:val="24"/>
      <w:lang w:bidi="ar-AE"/>
    </w:rPr>
  </w:style>
  <w:style w:type="character" w:customStyle="1" w:styleId="Heading6Char">
    <w:name w:val="Heading 6 Char"/>
    <w:link w:val="Heading6"/>
    <w:rPr>
      <w:sz w:val="24"/>
      <w:szCs w:val="24"/>
      <w:lang w:bidi="ar-AE"/>
    </w:rPr>
  </w:style>
  <w:style w:type="character" w:customStyle="1" w:styleId="Heading7Char">
    <w:name w:val="Heading 7 Char"/>
    <w:link w:val="Heading7"/>
    <w:rPr>
      <w:sz w:val="24"/>
      <w:szCs w:val="24"/>
      <w:lang w:bidi="ar-AE"/>
    </w:rPr>
  </w:style>
  <w:style w:type="character" w:customStyle="1" w:styleId="Heading8Char">
    <w:name w:val="Heading 8 Char"/>
    <w:link w:val="Heading8"/>
    <w:rPr>
      <w:sz w:val="24"/>
      <w:szCs w:val="24"/>
      <w:lang w:bidi="ar-AE"/>
    </w:rPr>
  </w:style>
  <w:style w:type="character" w:customStyle="1" w:styleId="Heading9Char">
    <w:name w:val="Heading 9 Char"/>
    <w:link w:val="Heading9"/>
    <w:rPr>
      <w:sz w:val="24"/>
      <w:szCs w:val="24"/>
      <w:lang w:bidi="ar-AE"/>
    </w:rPr>
  </w:style>
  <w:style w:type="paragraph" w:styleId="List3">
    <w:name w:val="List 3"/>
    <w:basedOn w:val="Normal"/>
    <w:pPr>
      <w:ind w:left="1080" w:hanging="360"/>
      <w:contextualSpacing/>
    </w:pPr>
  </w:style>
  <w:style w:type="paragraph" w:styleId="TOC7">
    <w:name w:val="toc 7"/>
    <w:basedOn w:val="Normal"/>
    <w:next w:val="Normal"/>
    <w:pPr>
      <w:ind w:left="1440"/>
    </w:pPr>
  </w:style>
  <w:style w:type="paragraph" w:styleId="TableofAuthorities">
    <w:name w:val="table of authorities"/>
    <w:basedOn w:val="Normal"/>
    <w:next w:val="Normal"/>
    <w:pPr>
      <w:ind w:left="240" w:hanging="240"/>
    </w:pPr>
  </w:style>
  <w:style w:type="paragraph" w:styleId="NoteHeading">
    <w:name w:val="Note Heading"/>
    <w:basedOn w:val="Normal"/>
    <w:next w:val="Normal"/>
    <w:link w:val="NoteHeadingChar"/>
    <w:rPr>
      <w:rFonts w:cs="Simplified Arabic"/>
    </w:rPr>
  </w:style>
  <w:style w:type="character" w:customStyle="1" w:styleId="NoteHeadingChar">
    <w:name w:val="Note Heading Char"/>
    <w:link w:val="NoteHeading"/>
    <w:rPr>
      <w:sz w:val="24"/>
      <w:szCs w:val="24"/>
      <w:lang w:bidi="ar-AE"/>
    </w:rPr>
  </w:style>
  <w:style w:type="paragraph" w:styleId="Index8">
    <w:name w:val="index 8"/>
    <w:basedOn w:val="Normal"/>
    <w:next w:val="Normal"/>
    <w:pPr>
      <w:ind w:left="1920" w:hanging="240"/>
    </w:pPr>
  </w:style>
  <w:style w:type="paragraph" w:styleId="E-mailSignature">
    <w:name w:val="E-mail Signature"/>
    <w:basedOn w:val="Normal"/>
    <w:link w:val="E-mailSignatureChar"/>
    <w:rPr>
      <w:rFonts w:cs="Simplified Arabic"/>
    </w:rPr>
  </w:style>
  <w:style w:type="character" w:customStyle="1" w:styleId="E-mailSignatureChar">
    <w:name w:val="E-mail Signature Char"/>
    <w:link w:val="E-mailSignature"/>
    <w:rPr>
      <w:sz w:val="24"/>
      <w:szCs w:val="24"/>
      <w:lang w:bidi="ar-AE"/>
    </w:rPr>
  </w:style>
  <w:style w:type="paragraph" w:styleId="NormalIndent">
    <w:name w:val="Normal Indent"/>
    <w:basedOn w:val="Normal"/>
    <w:pPr>
      <w:ind w:left="720"/>
    </w:p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Index5">
    <w:name w:val="index 5"/>
    <w:basedOn w:val="Normal"/>
    <w:next w:val="Normal"/>
    <w:pPr>
      <w:ind w:left="1200" w:hanging="24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Pr>
      <w:rFonts w:ascii="Tahoma" w:hAnsi="Tahoma" w:cs="Tahoma"/>
      <w:sz w:val="16"/>
      <w:szCs w:val="16"/>
      <w:lang w:bidi="ar-AE"/>
    </w:rPr>
  </w:style>
  <w:style w:type="paragraph" w:styleId="TOAHeading">
    <w:name w:val="toa heading"/>
    <w:basedOn w:val="Normal"/>
    <w:next w:val="Normal"/>
    <w:pPr>
      <w:spacing w:before="120"/>
    </w:pPr>
    <w:rPr>
      <w:rFonts w:cs="Simplified Arabic"/>
      <w:b/>
      <w:bCs/>
    </w:rPr>
  </w:style>
  <w:style w:type="paragraph" w:styleId="CommentText">
    <w:name w:val="annotation text"/>
    <w:basedOn w:val="Normal"/>
    <w:link w:val="CommentTextChar"/>
    <w:pPr>
      <w:spacing w:after="120"/>
    </w:pPr>
    <w:rPr>
      <w:rFonts w:cs="Simplified Arabic"/>
      <w:sz w:val="20"/>
      <w:szCs w:val="20"/>
    </w:rPr>
  </w:style>
  <w:style w:type="character" w:customStyle="1" w:styleId="CommentTextChar">
    <w:name w:val="Comment Text Char"/>
    <w:link w:val="CommentText"/>
    <w:rPr>
      <w:lang w:bidi="ar-AE"/>
    </w:rPr>
  </w:style>
  <w:style w:type="paragraph" w:styleId="Index6">
    <w:name w:val="index 6"/>
    <w:basedOn w:val="Normal"/>
    <w:next w:val="Normal"/>
    <w:pPr>
      <w:ind w:left="1440" w:hanging="240"/>
    </w:pPr>
  </w:style>
  <w:style w:type="paragraph" w:styleId="Salutation">
    <w:name w:val="Salutation"/>
    <w:basedOn w:val="Normal"/>
    <w:next w:val="Normal"/>
    <w:link w:val="SalutationChar"/>
    <w:rPr>
      <w:rFonts w:cs="Simplified Arabic"/>
    </w:rPr>
  </w:style>
  <w:style w:type="character" w:customStyle="1" w:styleId="SalutationChar">
    <w:name w:val="Salutation Char"/>
    <w:link w:val="Salutation"/>
    <w:rPr>
      <w:sz w:val="24"/>
      <w:szCs w:val="24"/>
      <w:lang w:bidi="ar-AE"/>
    </w:rPr>
  </w:style>
  <w:style w:type="paragraph" w:styleId="BodyText3">
    <w:name w:val="Body Text 3"/>
    <w:basedOn w:val="Normal"/>
    <w:link w:val="BodyText3Char"/>
    <w:pPr>
      <w:ind w:left="2160"/>
    </w:pPr>
    <w:rPr>
      <w:rFonts w:cs="Simplified Arabic"/>
      <w:lang w:eastAsia="en-GB"/>
    </w:rPr>
  </w:style>
  <w:style w:type="character" w:customStyle="1" w:styleId="BodyText3Char">
    <w:name w:val="Body Text 3 Char"/>
    <w:link w:val="BodyText3"/>
    <w:rPr>
      <w:sz w:val="24"/>
      <w:szCs w:val="24"/>
      <w:lang w:eastAsia="en-GB" w:bidi="ar-AE"/>
    </w:rPr>
  </w:style>
  <w:style w:type="paragraph" w:styleId="Closing">
    <w:name w:val="Closing"/>
    <w:basedOn w:val="Normal"/>
    <w:link w:val="ClosingChar"/>
    <w:pPr>
      <w:ind w:left="4320"/>
    </w:pPr>
    <w:rPr>
      <w:rFonts w:cs="Simplified Arabic"/>
    </w:rPr>
  </w:style>
  <w:style w:type="character" w:customStyle="1" w:styleId="ClosingChar">
    <w:name w:val="Closing Char"/>
    <w:link w:val="Closing"/>
    <w:rPr>
      <w:sz w:val="24"/>
      <w:szCs w:val="24"/>
      <w:lang w:bidi="ar-AE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cs="Simplified Arabic"/>
    </w:rPr>
  </w:style>
  <w:style w:type="character" w:customStyle="1" w:styleId="BodyTextIndentChar">
    <w:name w:val="Body Text Indent Char"/>
    <w:link w:val="BodyTextIndent"/>
    <w:rPr>
      <w:sz w:val="24"/>
      <w:szCs w:val="24"/>
      <w:lang w:bidi="ar-AE"/>
    </w:rPr>
  </w:style>
  <w:style w:type="paragraph" w:styleId="List2">
    <w:name w:val="List 2"/>
    <w:basedOn w:val="Normal"/>
    <w:pPr>
      <w:ind w:left="720" w:hanging="360"/>
      <w:contextualSpacing/>
    </w:pPr>
  </w:style>
  <w:style w:type="paragraph" w:styleId="ListContinue">
    <w:name w:val="List Continue"/>
    <w:basedOn w:val="Normal"/>
    <w:pPr>
      <w:spacing w:after="120"/>
      <w:ind w:left="360"/>
      <w:contextualSpacing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rPr>
      <w:rFonts w:cs="Simplified Arabic"/>
      <w:i/>
      <w:iCs/>
    </w:rPr>
  </w:style>
  <w:style w:type="character" w:customStyle="1" w:styleId="HTMLAddressChar">
    <w:name w:val="HTML Address Char"/>
    <w:link w:val="HTMLAddress"/>
    <w:rPr>
      <w:i/>
      <w:iCs/>
      <w:sz w:val="24"/>
      <w:szCs w:val="24"/>
      <w:lang w:bidi="ar-AE"/>
    </w:rPr>
  </w:style>
  <w:style w:type="paragraph" w:styleId="Index4">
    <w:name w:val="index 4"/>
    <w:basedOn w:val="Normal"/>
    <w:next w:val="Normal"/>
    <w:pPr>
      <w:ind w:left="960" w:hanging="240"/>
    </w:pPr>
  </w:style>
  <w:style w:type="paragraph" w:styleId="TOC5">
    <w:name w:val="toc 5"/>
    <w:basedOn w:val="Normal"/>
    <w:next w:val="Normal"/>
    <w:pPr>
      <w:ind w:left="960"/>
    </w:pPr>
  </w:style>
  <w:style w:type="paragraph" w:styleId="TOC3">
    <w:name w:val="toc 3"/>
    <w:basedOn w:val="Normal"/>
    <w:next w:val="Normal"/>
    <w:pPr>
      <w:ind w:left="48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bidi="ar-AE"/>
    </w:rPr>
  </w:style>
  <w:style w:type="paragraph" w:styleId="TOC8">
    <w:name w:val="toc 8"/>
    <w:basedOn w:val="Normal"/>
    <w:next w:val="Normal"/>
    <w:pPr>
      <w:ind w:left="1680"/>
    </w:pPr>
  </w:style>
  <w:style w:type="paragraph" w:styleId="Index3">
    <w:name w:val="index 3"/>
    <w:basedOn w:val="Normal"/>
    <w:next w:val="Normal"/>
    <w:pPr>
      <w:ind w:left="720" w:hanging="240"/>
    </w:pPr>
  </w:style>
  <w:style w:type="paragraph" w:styleId="Date">
    <w:name w:val="Date"/>
    <w:basedOn w:val="Normal"/>
    <w:next w:val="Normal"/>
    <w:link w:val="DateChar"/>
    <w:rPr>
      <w:rFonts w:cs="Simplified Arabic"/>
    </w:rPr>
  </w:style>
  <w:style w:type="character" w:customStyle="1" w:styleId="DateChar">
    <w:name w:val="Date Char"/>
    <w:link w:val="Date"/>
    <w:rPr>
      <w:sz w:val="24"/>
      <w:szCs w:val="24"/>
      <w:lang w:bidi="ar-AE"/>
    </w:rPr>
  </w:style>
  <w:style w:type="paragraph" w:styleId="BodyTextIndent2">
    <w:name w:val="Body Text Indent 2"/>
    <w:basedOn w:val="Normal"/>
    <w:link w:val="BodyTextIndent2Char"/>
    <w:pPr>
      <w:spacing w:after="120"/>
      <w:ind w:left="360"/>
    </w:pPr>
    <w:rPr>
      <w:rFonts w:cs="Simplified Arabic"/>
    </w:rPr>
  </w:style>
  <w:style w:type="character" w:customStyle="1" w:styleId="BodyTextIndent2Char">
    <w:name w:val="Body Text Indent 2 Char"/>
    <w:link w:val="BodyTextIndent2"/>
    <w:rPr>
      <w:sz w:val="24"/>
      <w:szCs w:val="24"/>
      <w:lang w:bidi="ar-AE"/>
    </w:rPr>
  </w:style>
  <w:style w:type="paragraph" w:styleId="EndnoteText">
    <w:name w:val="endnote text"/>
    <w:basedOn w:val="Normal"/>
    <w:next w:val="Normal"/>
    <w:link w:val="EndnoteTextChar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EndnoteTextChar">
    <w:name w:val="Endnote Text Char"/>
    <w:link w:val="EndnoteText"/>
    <w:rPr>
      <w:lang w:bidi="ar-AE"/>
    </w:rPr>
  </w:style>
  <w:style w:type="paragraph" w:styleId="ListContinue5">
    <w:name w:val="List Continue 5"/>
    <w:basedOn w:val="Normal"/>
    <w:pPr>
      <w:spacing w:after="120"/>
      <w:ind w:left="1800"/>
      <w:contextualSpacing/>
    </w:pPr>
  </w:style>
  <w:style w:type="paragraph" w:styleId="BalloonText">
    <w:name w:val="Balloon Text"/>
    <w:basedOn w:val="Normal"/>
    <w:link w:val="BalloonTextChar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bidi="ar-AE"/>
    </w:rPr>
  </w:style>
  <w:style w:type="paragraph" w:styleId="Footer">
    <w:name w:val="footer"/>
    <w:link w:val="FooterChar"/>
    <w:rPr>
      <w:sz w:val="16"/>
      <w:szCs w:val="16"/>
      <w:lang w:bidi="he-IL"/>
    </w:rPr>
  </w:style>
  <w:style w:type="character" w:customStyle="1" w:styleId="FooterChar">
    <w:name w:val="Footer Char"/>
    <w:link w:val="Footer"/>
    <w:rPr>
      <w:sz w:val="16"/>
      <w:szCs w:val="16"/>
      <w:lang w:val="en-GB" w:eastAsia="zh-CN" w:bidi="he-IL"/>
    </w:rPr>
  </w:style>
  <w:style w:type="paragraph" w:styleId="EnvelopeReturn">
    <w:name w:val="envelope return"/>
    <w:basedOn w:val="Normal"/>
    <w:rPr>
      <w:rFonts w:cs="Simplified Arabic"/>
      <w:sz w:val="20"/>
      <w:szCs w:val="20"/>
    </w:rPr>
  </w:style>
  <w:style w:type="paragraph" w:styleId="Header">
    <w:name w:val="header"/>
    <w:link w:val="HeaderChar"/>
    <w:uiPriority w:val="99"/>
    <w:pPr>
      <w:jc w:val="both"/>
    </w:pPr>
    <w:rPr>
      <w:sz w:val="24"/>
      <w:szCs w:val="24"/>
      <w:lang w:bidi="he-IL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GB" w:eastAsia="zh-CN" w:bidi="he-IL"/>
    </w:rPr>
  </w:style>
  <w:style w:type="paragraph" w:styleId="Signature">
    <w:name w:val="Signature"/>
    <w:basedOn w:val="Normal"/>
    <w:link w:val="SignatureChar"/>
    <w:pPr>
      <w:ind w:left="4320"/>
    </w:pPr>
    <w:rPr>
      <w:rFonts w:cs="Simplified Arabic"/>
    </w:rPr>
  </w:style>
  <w:style w:type="character" w:customStyle="1" w:styleId="SignatureChar">
    <w:name w:val="Signature Char"/>
    <w:link w:val="Signature"/>
    <w:rPr>
      <w:sz w:val="24"/>
      <w:szCs w:val="24"/>
      <w:lang w:bidi="ar-AE"/>
    </w:rPr>
  </w:style>
  <w:style w:type="paragraph" w:styleId="TOC1">
    <w:name w:val="toc 1"/>
    <w:basedOn w:val="Normal"/>
    <w:next w:val="BodyText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ListContinue4">
    <w:name w:val="List Continue 4"/>
    <w:basedOn w:val="Normal"/>
    <w:pPr>
      <w:spacing w:after="120"/>
      <w:ind w:left="1440"/>
      <w:contextualSpacing/>
    </w:pPr>
  </w:style>
  <w:style w:type="paragraph" w:styleId="TOC4">
    <w:name w:val="toc 4"/>
    <w:basedOn w:val="Normal"/>
    <w:next w:val="Normal"/>
    <w:pPr>
      <w:ind w:left="720"/>
    </w:pPr>
  </w:style>
  <w:style w:type="paragraph" w:styleId="IndexHeading">
    <w:name w:val="index heading"/>
    <w:basedOn w:val="Normal"/>
    <w:next w:val="Normal"/>
    <w:rPr>
      <w:b/>
      <w:bCs/>
    </w:rPr>
  </w:style>
  <w:style w:type="paragraph" w:styleId="Subtitle">
    <w:name w:val="Subtitle"/>
    <w:basedOn w:val="Normal"/>
    <w:next w:val="BodyText"/>
    <w:link w:val="SubtitleChar"/>
    <w:qFormat/>
    <w:pPr>
      <w:jc w:val="center"/>
    </w:pPr>
    <w:rPr>
      <w:rFonts w:cs="Simplified Arabic"/>
    </w:rPr>
  </w:style>
  <w:style w:type="character" w:customStyle="1" w:styleId="SubtitleChar">
    <w:name w:val="Subtitle Char"/>
    <w:link w:val="Subtitle"/>
    <w:rPr>
      <w:sz w:val="24"/>
      <w:szCs w:val="24"/>
      <w:lang w:bidi="ar-AE"/>
    </w:rPr>
  </w:style>
  <w:style w:type="paragraph" w:styleId="List">
    <w:name w:val="List"/>
    <w:basedOn w:val="Normal"/>
    <w:pPr>
      <w:ind w:left="360" w:hanging="360"/>
      <w:contextualSpacing/>
    </w:pPr>
  </w:style>
  <w:style w:type="paragraph" w:styleId="FootnoteText">
    <w:name w:val="footnote text"/>
    <w:basedOn w:val="Normal"/>
    <w:next w:val="Normal"/>
    <w:link w:val="FootnoteTextChar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FootnoteTextChar">
    <w:name w:val="Footnote Text Char"/>
    <w:link w:val="FootnoteText"/>
    <w:rPr>
      <w:lang w:bidi="ar-AE"/>
    </w:rPr>
  </w:style>
  <w:style w:type="paragraph" w:styleId="TOC6">
    <w:name w:val="toc 6"/>
    <w:basedOn w:val="Normal"/>
    <w:next w:val="Normal"/>
    <w:pPr>
      <w:ind w:left="1200"/>
    </w:pPr>
  </w:style>
  <w:style w:type="paragraph" w:styleId="List5">
    <w:name w:val="List 5"/>
    <w:basedOn w:val="Normal"/>
    <w:pPr>
      <w:ind w:left="1800" w:hanging="360"/>
      <w:contextualSpacing/>
    </w:p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BodyTextIndent3Char">
    <w:name w:val="Body Text Indent 3 Char"/>
    <w:link w:val="BodyTextIndent3"/>
    <w:rPr>
      <w:sz w:val="16"/>
      <w:szCs w:val="16"/>
      <w:lang w:bidi="ar-AE"/>
    </w:rPr>
  </w:style>
  <w:style w:type="paragraph" w:styleId="Index7">
    <w:name w:val="index 7"/>
    <w:basedOn w:val="Normal"/>
    <w:next w:val="Normal"/>
    <w:pPr>
      <w:ind w:left="1680" w:hanging="240"/>
    </w:pPr>
  </w:style>
  <w:style w:type="paragraph" w:styleId="Index9">
    <w:name w:val="index 9"/>
    <w:basedOn w:val="Normal"/>
    <w:next w:val="Normal"/>
    <w:pPr>
      <w:ind w:left="2160" w:hanging="240"/>
    </w:pPr>
  </w:style>
  <w:style w:type="paragraph" w:styleId="TableofFigures">
    <w:name w:val="table of figures"/>
    <w:basedOn w:val="Normal"/>
    <w:next w:val="Normal"/>
  </w:style>
  <w:style w:type="paragraph" w:styleId="TOC2">
    <w:name w:val="toc 2"/>
    <w:basedOn w:val="Normal"/>
    <w:next w:val="BodyText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Normal"/>
    <w:next w:val="Normal"/>
    <w:pPr>
      <w:ind w:left="1920"/>
    </w:pPr>
  </w:style>
  <w:style w:type="paragraph" w:styleId="BodyText2">
    <w:name w:val="Body Text 2"/>
    <w:basedOn w:val="Normal"/>
    <w:link w:val="BodyText2Char"/>
    <w:pPr>
      <w:ind w:left="1440"/>
    </w:pPr>
    <w:rPr>
      <w:rFonts w:cs="Simplified Arabic"/>
      <w:lang w:eastAsia="en-GB"/>
    </w:rPr>
  </w:style>
  <w:style w:type="character" w:customStyle="1" w:styleId="BodyText2Char">
    <w:name w:val="Body Text 2 Char"/>
    <w:link w:val="BodyText2"/>
    <w:rPr>
      <w:sz w:val="24"/>
      <w:szCs w:val="24"/>
      <w:lang w:eastAsia="en-GB" w:bidi="ar-AE"/>
    </w:rPr>
  </w:style>
  <w:style w:type="paragraph" w:styleId="List4">
    <w:name w:val="List 4"/>
    <w:basedOn w:val="Normal"/>
    <w:pPr>
      <w:ind w:left="1440" w:hanging="360"/>
      <w:contextualSpacing/>
    </w:pPr>
  </w:style>
  <w:style w:type="paragraph" w:styleId="ListContinue2">
    <w:name w:val="List Continue 2"/>
    <w:basedOn w:val="Normal"/>
    <w:pPr>
      <w:spacing w:after="120"/>
      <w:ind w:left="720"/>
      <w:contextualSpacing/>
    </w:p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ssageHeaderChar">
    <w:name w:val="Message Header Char"/>
    <w:link w:val="MessageHeader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bidi="ar-AE"/>
    </w:rPr>
  </w:style>
  <w:style w:type="paragraph" w:styleId="NormalWeb">
    <w:name w:val="Normal (Web)"/>
    <w:basedOn w:val="Normal"/>
  </w:style>
  <w:style w:type="paragraph" w:styleId="ListContinue3">
    <w:name w:val="List Continue 3"/>
    <w:basedOn w:val="Normal"/>
    <w:pPr>
      <w:spacing w:after="120"/>
      <w:ind w:left="1080"/>
      <w:contextualSpacing/>
    </w:pPr>
  </w:style>
  <w:style w:type="paragraph" w:styleId="Index1">
    <w:name w:val="index 1"/>
    <w:basedOn w:val="Normal"/>
    <w:next w:val="Normal"/>
    <w:pPr>
      <w:ind w:left="240" w:hanging="240"/>
    </w:pPr>
  </w:style>
  <w:style w:type="paragraph" w:styleId="Index2">
    <w:name w:val="index 2"/>
    <w:basedOn w:val="Normal"/>
    <w:next w:val="Normal"/>
    <w:pPr>
      <w:ind w:left="480" w:hanging="240"/>
    </w:pPr>
  </w:style>
  <w:style w:type="paragraph" w:styleId="Title">
    <w:name w:val="Title"/>
    <w:basedOn w:val="Normal"/>
    <w:next w:val="BodyText"/>
    <w:link w:val="TitleChar"/>
    <w:qFormat/>
    <w:pPr>
      <w:jc w:val="center"/>
    </w:pPr>
    <w:rPr>
      <w:rFonts w:cs="Simplified Arabic"/>
      <w:b/>
      <w:bCs/>
    </w:rPr>
  </w:style>
  <w:style w:type="character" w:customStyle="1" w:styleId="TitleChar">
    <w:name w:val="Title Char"/>
    <w:link w:val="Title"/>
    <w:rPr>
      <w:b/>
      <w:bCs/>
      <w:sz w:val="24"/>
      <w:szCs w:val="24"/>
      <w:lang w:bidi="ar-AE"/>
    </w:rPr>
  </w:style>
  <w:style w:type="paragraph" w:styleId="CommentSubject">
    <w:name w:val="annotation subject"/>
    <w:basedOn w:val="CommentText"/>
    <w:next w:val="CommentText"/>
    <w:link w:val="CommentSubjectChar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rPr>
      <w:b/>
      <w:bCs/>
      <w:lang w:bidi="ar-AE"/>
    </w:rPr>
  </w:style>
  <w:style w:type="paragraph" w:styleId="BodyTextFirstIndent">
    <w:name w:val="Body Text First Indent"/>
    <w:basedOn w:val="BodyText"/>
    <w:link w:val="BodyTextFirstIndentChar"/>
    <w:pPr>
      <w:ind w:firstLine="720"/>
    </w:pPr>
  </w:style>
  <w:style w:type="character" w:customStyle="1" w:styleId="BodyTextFirstIndentChar">
    <w:name w:val="Body Text First Indent Char"/>
    <w:link w:val="BodyTextFirstIndent"/>
    <w:rPr>
      <w:sz w:val="24"/>
      <w:szCs w:val="24"/>
      <w:lang w:eastAsia="en-GB" w:bidi="ar-AE"/>
    </w:rPr>
  </w:style>
  <w:style w:type="paragraph" w:styleId="BodyTextFirstIndent2">
    <w:name w:val="Body Text First Indent 2"/>
    <w:basedOn w:val="BodyTextFirstIndent"/>
    <w:link w:val="BodyTextFirstIndent2Char"/>
    <w:pPr>
      <w:ind w:firstLine="1440"/>
    </w:pPr>
  </w:style>
  <w:style w:type="character" w:customStyle="1" w:styleId="BodyTextFirstIndent2Char">
    <w:name w:val="Body Text First Indent 2 Char"/>
    <w:link w:val="BodyTextFirstIndent2"/>
    <w:rPr>
      <w:sz w:val="24"/>
      <w:szCs w:val="24"/>
      <w:lang w:eastAsia="en-GB" w:bidi="ar-AE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Theme">
    <w:name w:val="Table Theme"/>
    <w:basedOn w:val="TableNormal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orful1">
    <w:name w:val="Table Colorful 1"/>
    <w:basedOn w:val="TableNormal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2">
    <w:name w:val="Table Colorful 2"/>
    <w:basedOn w:val="TableNormal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Elegant">
    <w:name w:val="Table Elegant"/>
    <w:basedOn w:val="TableNormal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3">
    <w:name w:val="Table Classic 3"/>
    <w:basedOn w:val="TableNormal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4">
    <w:name w:val="Table Classic 4"/>
    <w:basedOn w:val="TableNormal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1">
    <w:name w:val="Table Simple 1"/>
    <w:basedOn w:val="TableNormal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1">
    <w:name w:val="Table 3D effects 1"/>
    <w:basedOn w:val="TableNormal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1">
    <w:name w:val="Table List 1"/>
    <w:basedOn w:val="TableNormal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3">
    <w:name w:val="Table List 3"/>
    <w:basedOn w:val="TableNormal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4">
    <w:name w:val="Table List 4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TableContemporary">
    <w:name w:val="Table Contemporary"/>
    <w:basedOn w:val="TableNormal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leColumns1">
    <w:name w:val="Table Columns 1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3">
    <w:name w:val="Table Grid 3"/>
    <w:basedOn w:val="TableNormal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1">
    <w:name w:val="Table Web 1"/>
    <w:basedOn w:val="TableNormal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2">
    <w:name w:val="Table Web 2"/>
    <w:basedOn w:val="TableNormal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3">
    <w:name w:val="Table Web 3"/>
    <w:basedOn w:val="TableNormal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Professional">
    <w:name w:val="Table Professional"/>
    <w:basedOn w:val="TableNormal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LightShading-Accent2">
    <w:name w:val="Light Shading Accent 2"/>
    <w:basedOn w:val="TableNormal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ghtShading-Accent3">
    <w:name w:val="Light Shading Accent 3"/>
    <w:basedOn w:val="TableNormal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ghtShading-Accent4">
    <w:name w:val="Light Shading Accent 4"/>
    <w:basedOn w:val="TableNormal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ghtShading-Accent5">
    <w:name w:val="Light Shading Accent 5"/>
    <w:basedOn w:val="TableNormal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ghtShading-Accent6">
    <w:name w:val="Light Shading Accent 6"/>
    <w:basedOn w:val="TableNormal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ghtList-Accent2">
    <w:name w:val="Light List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LightList-Accent3">
    <w:name w:val="Light List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LightList-Accent4">
    <w:name w:val="Light List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LightList-Accent5">
    <w:name w:val="Light List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LightList-Accent6">
    <w:name w:val="Light List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LightGrid-Accent2">
    <w:name w:val="Light Grid Accent 2"/>
    <w:basedOn w:val="TableNormal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LightGrid-Accent3">
    <w:name w:val="Light Grid Accent 3"/>
    <w:basedOn w:val="TableNormal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LightGrid-Accent4">
    <w:name w:val="Light Grid Accent 4"/>
    <w:basedOn w:val="TableNormal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LightGrid-Accent5">
    <w:name w:val="Light Grid Accent 5"/>
    <w:basedOn w:val="TableNormal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LightGrid-Accent6">
    <w:name w:val="Light Grid Accent 6"/>
    <w:basedOn w:val="TableNormal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MediumShading1-Accent2">
    <w:name w:val="Medium Shading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Shading1-Accent3">
    <w:name w:val="Medium Shading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Shading1-Accent4">
    <w:name w:val="Medium Shading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Shading1-Accent5">
    <w:name w:val="Medium Shading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Shading1-Accent6">
    <w:name w:val="Medium Shading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Shading2-Accent2">
    <w:name w:val="Medium Shading 2 Accent 2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3">
    <w:name w:val="Medium Shading 2 Accent 3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4">
    <w:name w:val="Medium Shading 2 Accent 4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5">
    <w:name w:val="Medium Shading 2 Accent 5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Shading2-Accent6">
    <w:name w:val="Medium Shading 2 Accent 6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MediumList1-Accent2">
    <w:name w:val="Medium List 1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-Accent1">
    <w:name w:val="Medium List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MediumList2-Accent2">
    <w:name w:val="Medium List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MediumList2-Accent3">
    <w:name w:val="Medium List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MediumList2-Accent4">
    <w:name w:val="Medium List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MediumList2-Accent5">
    <w:name w:val="Medium List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MediumList2-Accent6">
    <w:name w:val="Medium List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MediumGrid1-Accent1">
    <w:name w:val="Medium Grid 1 Accent 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-Accent1">
    <w:name w:val="Medium Grid 2 Accent 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DarkList-Accent1">
    <w:name w:val="Dark List Accent 1"/>
    <w:basedOn w:val="TableNormal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DarkList-Accent2">
    <w:name w:val="Dark List Accent 2"/>
    <w:basedOn w:val="TableNormal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DarkList-Accent3">
    <w:name w:val="Dark List Accent 3"/>
    <w:basedOn w:val="TableNormal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DarkList-Accent4">
    <w:name w:val="Dark List Accent 4"/>
    <w:basedOn w:val="TableNormal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DarkList-Accent5">
    <w:name w:val="Dark List Accent 5"/>
    <w:basedOn w:val="TableNormal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DarkList-Accent6">
    <w:name w:val="Dark List Accent 6"/>
    <w:basedOn w:val="TableNormal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ColorfulShading-Accent1">
    <w:name w:val="Colorful Shading Accent 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1">
    <w:name w:val="Colorful List Accent 1"/>
    <w:basedOn w:val="TableNormal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-Accent1">
    <w:name w:val="Colorful Grid Accent 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Strong">
    <w:name w:val="Strong"/>
    <w:qFormat/>
    <w:rPr>
      <w:b/>
      <w:bCs/>
    </w:rPr>
  </w:style>
  <w:style w:type="character" w:styleId="EndnoteReference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PageNumber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FootnoteReference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Normal"/>
    <w:pPr>
      <w:ind w:left="720"/>
    </w:pPr>
    <w:rPr>
      <w:lang w:eastAsia="en-GB"/>
    </w:rPr>
  </w:style>
  <w:style w:type="paragraph" w:customStyle="1" w:styleId="BodyText4">
    <w:name w:val="Body Text 4"/>
    <w:basedOn w:val="Normal"/>
    <w:pPr>
      <w:ind w:left="2880"/>
    </w:pPr>
    <w:rPr>
      <w:lang w:eastAsia="en-GB"/>
    </w:rPr>
  </w:style>
  <w:style w:type="paragraph" w:customStyle="1" w:styleId="BodyText5">
    <w:name w:val="Body Text 5"/>
    <w:basedOn w:val="Normal"/>
    <w:pPr>
      <w:ind w:left="3600"/>
    </w:pPr>
    <w:rPr>
      <w:lang w:eastAsia="en-GB"/>
    </w:rPr>
  </w:style>
  <w:style w:type="paragraph" w:customStyle="1" w:styleId="BodyText6">
    <w:name w:val="Body Text 6"/>
    <w:basedOn w:val="Normal"/>
    <w:pPr>
      <w:ind w:left="4320"/>
    </w:pPr>
    <w:rPr>
      <w:lang w:eastAsia="en-GB"/>
    </w:rPr>
  </w:style>
  <w:style w:type="paragraph" w:customStyle="1" w:styleId="BodyText7">
    <w:name w:val="Body Text 7"/>
    <w:basedOn w:val="Normal"/>
    <w:pPr>
      <w:ind w:left="5041"/>
    </w:pPr>
    <w:rPr>
      <w:lang w:eastAsia="en-GB"/>
    </w:rPr>
  </w:style>
  <w:style w:type="paragraph" w:customStyle="1" w:styleId="FooterRight">
    <w:name w:val="Footer Right"/>
    <w:basedOn w:val="Footer"/>
    <w:pPr>
      <w:jc w:val="right"/>
    </w:pPr>
  </w:style>
  <w:style w:type="paragraph" w:customStyle="1" w:styleId="Footnote">
    <w:name w:val="Footnote"/>
    <w:basedOn w:val="FootnoteText"/>
    <w:pPr>
      <w:tabs>
        <w:tab w:val="left" w:pos="3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qFormat/>
    <w:pPr>
      <w:spacing w:after="0"/>
    </w:pPr>
  </w:style>
  <w:style w:type="paragraph" w:customStyle="1" w:styleId="NormalBold">
    <w:name w:val="NormalBold"/>
    <w:basedOn w:val="Normal"/>
    <w:next w:val="Normal"/>
    <w:rPr>
      <w:b/>
      <w:bCs/>
    </w:rPr>
  </w:style>
  <w:style w:type="paragraph" w:customStyle="1" w:styleId="NormalBoldNS">
    <w:name w:val="NormalBoldNS"/>
    <w:basedOn w:val="Normal"/>
    <w:next w:val="Normal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Normal"/>
    <w:pPr>
      <w:spacing w:after="120"/>
      <w:ind w:left="340"/>
    </w:pPr>
    <w:rPr>
      <w:sz w:val="20"/>
      <w:szCs w:val="20"/>
    </w:rPr>
  </w:style>
  <w:style w:type="paragraph" w:styleId="TOCHeading">
    <w:name w:val="TOC Heading"/>
    <w:basedOn w:val="Normal"/>
    <w:next w:val="Normal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Normal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Subtitle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bidi="ar-AE"/>
    </w:rPr>
  </w:style>
  <w:style w:type="paragraph" w:customStyle="1" w:styleId="NormalLeft0">
    <w:name w:val="NormalLeft"/>
    <w:basedOn w:val="Normal"/>
    <w:next w:val="Normal"/>
    <w:pPr>
      <w:jc w:val="left"/>
    </w:pPr>
  </w:style>
  <w:style w:type="paragraph" w:styleId="Bibliography">
    <w:name w:val="Bibliography"/>
    <w:basedOn w:val="Normal"/>
    <w:next w:val="Normal"/>
  </w:style>
  <w:style w:type="table" w:customStyle="1" w:styleId="ColorfulGrid1">
    <w:name w:val="Colorful Grid1"/>
    <w:basedOn w:val="TableNormal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TableNormal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TableNormal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IntenseQuoteChar">
    <w:name w:val="Intense Quote Char"/>
    <w:link w:val="IntenseQuote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TableNormal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TableNormal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TableNormal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TableNormal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TableNormal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Quote">
    <w:name w:val="Quote"/>
    <w:basedOn w:val="Normal"/>
    <w:next w:val="Normal"/>
    <w:link w:val="QuoteChar"/>
    <w:qFormat/>
    <w:rPr>
      <w:rFonts w:cs="Simplified Arabic"/>
      <w:i/>
      <w:iCs/>
      <w:color w:val="000000"/>
    </w:rPr>
  </w:style>
  <w:style w:type="character" w:customStyle="1" w:styleId="QuoteChar">
    <w:name w:val="Quote Char"/>
    <w:link w:val="Quote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Normal"/>
    <w:next w:val="BodyText3"/>
    <w:link w:val="StandardL9Char"/>
    <w:pPr>
      <w:numPr>
        <w:ilvl w:val="8"/>
        <w:numId w:val="1"/>
      </w:numPr>
      <w:tabs>
        <w:tab w:val="left" w:pos="2160"/>
      </w:tabs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Normal"/>
    <w:next w:val="BodyText2"/>
    <w:link w:val="StandardL8Char"/>
    <w:pPr>
      <w:numPr>
        <w:ilvl w:val="7"/>
        <w:numId w:val="1"/>
      </w:numPr>
      <w:tabs>
        <w:tab w:val="left" w:pos="1440"/>
      </w:tabs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Normal"/>
    <w:next w:val="BodyText6"/>
    <w:link w:val="StandardL7Char"/>
    <w:pPr>
      <w:numPr>
        <w:ilvl w:val="6"/>
        <w:numId w:val="1"/>
      </w:numPr>
      <w:tabs>
        <w:tab w:val="left" w:pos="4320"/>
      </w:tabs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Normal"/>
    <w:next w:val="BodyText5"/>
    <w:link w:val="StandardL6Char"/>
    <w:pPr>
      <w:numPr>
        <w:ilvl w:val="5"/>
        <w:numId w:val="1"/>
      </w:numPr>
      <w:tabs>
        <w:tab w:val="left" w:pos="3600"/>
      </w:tabs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Normal"/>
    <w:next w:val="BodyText4"/>
    <w:link w:val="StandardL5Char"/>
    <w:pPr>
      <w:numPr>
        <w:ilvl w:val="4"/>
        <w:numId w:val="1"/>
      </w:numPr>
      <w:tabs>
        <w:tab w:val="left" w:pos="2880"/>
      </w:tabs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Normal"/>
    <w:link w:val="BulletL9Char"/>
    <w:pPr>
      <w:numPr>
        <w:ilvl w:val="8"/>
        <w:numId w:val="2"/>
      </w:numPr>
      <w:tabs>
        <w:tab w:val="left" w:pos="0"/>
      </w:tabs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Normal"/>
    <w:link w:val="BulletL8Char"/>
    <w:pPr>
      <w:numPr>
        <w:ilvl w:val="7"/>
        <w:numId w:val="2"/>
      </w:numPr>
      <w:tabs>
        <w:tab w:val="left" w:pos="0"/>
      </w:tabs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Normal"/>
    <w:link w:val="BulletL7Char"/>
    <w:pPr>
      <w:numPr>
        <w:ilvl w:val="6"/>
        <w:numId w:val="2"/>
      </w:numPr>
      <w:tabs>
        <w:tab w:val="left" w:pos="5040"/>
      </w:tabs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Normal"/>
    <w:link w:val="BulletL6Char"/>
    <w:pPr>
      <w:numPr>
        <w:ilvl w:val="5"/>
        <w:numId w:val="2"/>
      </w:numPr>
      <w:tabs>
        <w:tab w:val="left" w:pos="4320"/>
      </w:tabs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Normal"/>
    <w:link w:val="BulletL5Char"/>
    <w:pPr>
      <w:numPr>
        <w:ilvl w:val="4"/>
        <w:numId w:val="2"/>
      </w:numPr>
      <w:tabs>
        <w:tab w:val="left" w:pos="3600"/>
      </w:tabs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Normal"/>
    <w:link w:val="BulletL4Char"/>
    <w:pPr>
      <w:numPr>
        <w:ilvl w:val="3"/>
        <w:numId w:val="2"/>
      </w:numPr>
      <w:tabs>
        <w:tab w:val="left" w:pos="2880"/>
      </w:tabs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Normal"/>
    <w:link w:val="BulletL3Char"/>
    <w:pPr>
      <w:numPr>
        <w:ilvl w:val="2"/>
        <w:numId w:val="2"/>
      </w:numPr>
      <w:tabs>
        <w:tab w:val="left" w:pos="2160"/>
      </w:tabs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Normal"/>
    <w:link w:val="BulletL2Char"/>
    <w:pPr>
      <w:numPr>
        <w:ilvl w:val="1"/>
        <w:numId w:val="2"/>
      </w:numPr>
      <w:tabs>
        <w:tab w:val="left" w:pos="1440"/>
      </w:tabs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Normal"/>
    <w:link w:val="BulletL1Char"/>
    <w:pPr>
      <w:numPr>
        <w:numId w:val="2"/>
      </w:numPr>
      <w:tabs>
        <w:tab w:val="left" w:pos="720"/>
      </w:tabs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Normal"/>
    <w:next w:val="BodyText3"/>
    <w:link w:val="StandardL4Char"/>
    <w:pPr>
      <w:numPr>
        <w:ilvl w:val="3"/>
        <w:numId w:val="1"/>
      </w:numPr>
      <w:tabs>
        <w:tab w:val="left" w:pos="2160"/>
      </w:tabs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Normal"/>
    <w:next w:val="BodyText2"/>
    <w:link w:val="StandardL3Char"/>
    <w:pPr>
      <w:numPr>
        <w:ilvl w:val="2"/>
        <w:numId w:val="1"/>
      </w:numPr>
      <w:tabs>
        <w:tab w:val="left" w:pos="1440"/>
      </w:tabs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Normal"/>
    <w:next w:val="BodyText1"/>
    <w:link w:val="StandardL2Char"/>
    <w:pPr>
      <w:numPr>
        <w:ilvl w:val="1"/>
        <w:numId w:val="1"/>
      </w:numPr>
      <w:tabs>
        <w:tab w:val="left" w:pos="720"/>
      </w:tabs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Normal"/>
    <w:next w:val="BodyText1"/>
    <w:link w:val="StandardL1Char"/>
    <w:pPr>
      <w:keepNext/>
      <w:numPr>
        <w:numId w:val="1"/>
      </w:numPr>
      <w:tabs>
        <w:tab w:val="left" w:pos="720"/>
      </w:tabs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styleId="Revision">
    <w:name w:val="Revision"/>
    <w:hidden/>
    <w:uiPriority w:val="99"/>
    <w:unhideWhenUsed/>
    <w:rsid w:val="00A343B7"/>
    <w:rPr>
      <w:sz w:val="24"/>
      <w:szCs w:val="24"/>
      <w:lang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5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HSF">
  <a:themeElements>
    <a:clrScheme name="HSF Brand">
      <a:dk1>
        <a:sysClr val="windowText" lastClr="000000"/>
      </a:dk1>
      <a:lt1>
        <a:sysClr val="window" lastClr="FFFFFF"/>
      </a:lt1>
      <a:dk2>
        <a:srgbClr val="1C3E78"/>
      </a:dk2>
      <a:lt2>
        <a:srgbClr val="A4A6A8"/>
      </a:lt2>
      <a:accent1>
        <a:srgbClr val="1C3E78"/>
      </a:accent1>
      <a:accent2>
        <a:srgbClr val="40AAB8"/>
      </a:accent2>
      <a:accent3>
        <a:srgbClr val="FFC72C"/>
      </a:accent3>
      <a:accent4>
        <a:srgbClr val="A24381"/>
      </a:accent4>
      <a:accent5>
        <a:srgbClr val="235BA8"/>
      </a:accent5>
      <a:accent6>
        <a:srgbClr val="F65058"/>
      </a:accent6>
      <a:hlink>
        <a:srgbClr val="235BA8"/>
      </a:hlink>
      <a:folHlink>
        <a:srgbClr val="A4A6A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9525">
          <a:noFill/>
        </a:ln>
      </a:spPr>
      <a:bodyPr lIns="72000" tIns="72000" rIns="72000" bIns="72000" rtlCol="0" anchor="ctr"/>
      <a:lstStyle>
        <a:defPPr algn="ctr">
          <a:lnSpc>
            <a:spcPct val="90000"/>
          </a:lnSpc>
          <a:spcAft>
            <a:spcPts val="600"/>
          </a:spcAft>
          <a:defRPr sz="2400" dirty="0" err="1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>
          <a:noFill/>
        </a:ln>
      </a:spPr>
      <a:bodyPr wrap="square" lIns="72000" tIns="72000" rIns="72000" bIns="72000" rtlCol="0" anchor="t" anchorCtr="0">
        <a:noAutofit/>
      </a:bodyPr>
      <a:lstStyle>
        <a:defPPr>
          <a:lnSpc>
            <a:spcPct val="90000"/>
          </a:lnSpc>
          <a:spcAft>
            <a:spcPts val="600"/>
          </a:spcAft>
          <a:defRPr sz="2400" dirty="0" err="1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6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KWM</dc:creator>
  <cp:keywords/>
  <cp:lastModifiedBy>Herbert Smith Freehills Kewei</cp:lastModifiedBy>
  <cp:revision>5</cp:revision>
  <cp:lastPrinted>2022-03-20T13:18:00Z</cp:lastPrinted>
  <dcterms:created xsi:type="dcterms:W3CDTF">2025-05-07T03:21:00Z</dcterms:created>
  <dcterms:modified xsi:type="dcterms:W3CDTF">2025-05-07T07:27:00Z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GrammarlyDocumentId">
    <vt:lpwstr>4f089b5b77e6ba067f5fab36f79c7089fafa208a929140029906eacfd0ec0264</vt:lpwstr>
  </property>
</Properties>
</file>