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36"/>
          <w:szCs w:val="36"/>
          <w:lang w:eastAsia="zh-CN"/>
        </w:rPr>
      </w:pPr>
      <w:r>
        <w:rPr>
          <w:rFonts w:hint="eastAsia" w:ascii="黑体" w:hAnsi="黑体" w:eastAsia="黑体" w:cs="微软雅黑"/>
          <w:sz w:val="36"/>
          <w:szCs w:val="36"/>
          <w:lang w:eastAsia="zh-CN"/>
        </w:rPr>
        <w:t>经营者集中简易案件公示表</w:t>
      </w:r>
    </w:p>
    <w:p>
      <w:pPr>
        <w:spacing w:line="146" w:lineRule="exact"/>
        <w:rPr>
          <w:rFonts w:hint="eastAsia" w:asciiTheme="minorEastAsia" w:hAnsiTheme="minorEastAsia" w:eastAsiaTheme="minorEastAsia"/>
          <w:lang w:eastAsia="zh-CN"/>
        </w:rPr>
      </w:pPr>
    </w:p>
    <w:tbl>
      <w:tblPr>
        <w:tblStyle w:val="9"/>
        <w:tblW w:w="96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4"/>
        <w:gridCol w:w="1606"/>
        <w:gridCol w:w="60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1944" w:type="dxa"/>
            <w:shd w:val="clear" w:color="auto" w:fill="D9D9D9"/>
            <w:vAlign w:val="center"/>
          </w:tcPr>
          <w:p>
            <w:pPr>
              <w:rPr>
                <w:rFonts w:ascii="Times New Roman" w:hAnsi="Times New Roman" w:cs="Times New Roman" w:eastAsiaTheme="minorEastAsia"/>
                <w:sz w:val="24"/>
                <w:szCs w:val="24"/>
              </w:rPr>
            </w:pPr>
            <w:r>
              <w:rPr>
                <w:rFonts w:ascii="Times New Roman" w:hAnsi="Times New Roman" w:cs="Times New Roman" w:eastAsiaTheme="minorEastAsia"/>
                <w:sz w:val="24"/>
                <w:szCs w:val="24"/>
              </w:rPr>
              <w:t>案件名称</w:t>
            </w:r>
          </w:p>
        </w:tc>
        <w:tc>
          <w:tcPr>
            <w:tcW w:w="7700" w:type="dxa"/>
            <w:gridSpan w:val="2"/>
            <w:vAlign w:val="center"/>
          </w:tcPr>
          <w:p>
            <w:pPr>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中国重型机械有限公司与南方电网澜湄国际能源有限责任公司新设合营企业案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9" w:hRule="atLeast"/>
        </w:trPr>
        <w:tc>
          <w:tcPr>
            <w:tcW w:w="1944" w:type="dxa"/>
            <w:shd w:val="clear" w:color="auto" w:fill="D9D9D9"/>
            <w:vAlign w:val="center"/>
          </w:tcPr>
          <w:p>
            <w:pPr>
              <w:rPr>
                <w:rFonts w:ascii="Times New Roman" w:hAnsi="Times New Roman" w:cs="Times New Roman" w:eastAsiaTheme="minorEastAsia"/>
                <w:sz w:val="24"/>
                <w:szCs w:val="24"/>
              </w:rPr>
            </w:pPr>
            <w:r>
              <w:rPr>
                <w:rFonts w:ascii="Times New Roman" w:hAnsi="Times New Roman" w:cs="Times New Roman" w:eastAsiaTheme="minorEastAsia"/>
                <w:sz w:val="24"/>
                <w:szCs w:val="24"/>
              </w:rPr>
              <w:t>交易概况（限200字内）</w:t>
            </w:r>
          </w:p>
        </w:tc>
        <w:tc>
          <w:tcPr>
            <w:tcW w:w="7700" w:type="dxa"/>
            <w:gridSpan w:val="2"/>
            <w:vAlign w:val="center"/>
          </w:tcPr>
          <w:p>
            <w:pPr>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中国重型机械有限公司（“中国重机”）与南方电网澜湄国际能源有限责任公司（“澜湄国际”）、二重（德阳）重型装备有限公司（“二重德阳”）签署协议，拟组建用于投资境外BOT项目的平台公司，并由平台公司在项目所在地投资设立项目公司，作为前述项目的实施主体。交易后，中国重机持股平台公司45%；澜湄国际持股平台公司45%；二重德阳持股平台公司10%。中国重机、澜湄国际共同控制平台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4" w:hRule="atLeast"/>
        </w:trPr>
        <w:tc>
          <w:tcPr>
            <w:tcW w:w="1944" w:type="dxa"/>
            <w:vMerge w:val="restart"/>
            <w:tcBorders>
              <w:bottom w:val="nil"/>
            </w:tcBorders>
            <w:shd w:val="clear" w:color="auto" w:fill="D9D9D9"/>
            <w:vAlign w:val="center"/>
          </w:tcPr>
          <w:p>
            <w:pPr>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参与集中的经营者简介（每个限100字以内）</w:t>
            </w:r>
          </w:p>
        </w:tc>
        <w:tc>
          <w:tcPr>
            <w:tcW w:w="1606" w:type="dxa"/>
            <w:vAlign w:val="center"/>
          </w:tcPr>
          <w:p>
            <w:pPr>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1.中国重型机械有限公司</w:t>
            </w:r>
          </w:p>
        </w:tc>
        <w:tc>
          <w:tcPr>
            <w:tcW w:w="6094" w:type="dxa"/>
            <w:vAlign w:val="center"/>
          </w:tcPr>
          <w:p>
            <w:pPr>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中国重机于1981年1月30日成立于北京市，主要业务为建设工程项目前期规划、EPC、融资以及运行维护等。</w:t>
            </w:r>
          </w:p>
          <w:p>
            <w:pPr>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其最终控制人为中国机械工业集团有限公司，主要业务为先进装备制造等。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6" w:hRule="atLeast"/>
        </w:trPr>
        <w:tc>
          <w:tcPr>
            <w:tcW w:w="1944" w:type="dxa"/>
            <w:vMerge w:val="continue"/>
            <w:tcBorders>
              <w:top w:val="nil"/>
            </w:tcBorders>
            <w:vAlign w:val="center"/>
          </w:tcPr>
          <w:p>
            <w:pPr>
              <w:rPr>
                <w:rFonts w:ascii="Times New Roman" w:hAnsi="Times New Roman" w:cs="Times New Roman" w:eastAsiaTheme="minorEastAsia"/>
                <w:sz w:val="24"/>
                <w:szCs w:val="24"/>
                <w:lang w:eastAsia="zh-CN"/>
              </w:rPr>
            </w:pPr>
          </w:p>
        </w:tc>
        <w:tc>
          <w:tcPr>
            <w:tcW w:w="1606" w:type="dxa"/>
            <w:vAlign w:val="center"/>
          </w:tcPr>
          <w:p>
            <w:pPr>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2.南方电网澜湄国际能源有限责任公司</w:t>
            </w:r>
          </w:p>
        </w:tc>
        <w:tc>
          <w:tcPr>
            <w:tcW w:w="6094" w:type="dxa"/>
            <w:vAlign w:val="center"/>
          </w:tcPr>
          <w:p>
            <w:pPr>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澜湄国际于2013年5月30日成立于云南省</w:t>
            </w:r>
            <w:r>
              <w:rPr>
                <w:rFonts w:hint="eastAsia" w:ascii="Times New Roman" w:hAnsi="Times New Roman" w:cs="Times New Roman" w:eastAsiaTheme="minorEastAsia"/>
                <w:sz w:val="24"/>
                <w:szCs w:val="24"/>
                <w:highlight w:val="none"/>
                <w:lang w:eastAsia="zh-CN"/>
              </w:rPr>
              <w:t>瑞丽市</w:t>
            </w:r>
            <w:r>
              <w:rPr>
                <w:rFonts w:ascii="Times New Roman" w:hAnsi="Times New Roman" w:cs="Times New Roman" w:eastAsiaTheme="minorEastAsia"/>
                <w:sz w:val="24"/>
                <w:szCs w:val="24"/>
                <w:highlight w:val="none"/>
                <w:lang w:eastAsia="zh-CN"/>
              </w:rPr>
              <w:t>，</w:t>
            </w:r>
            <w:r>
              <w:rPr>
                <w:rFonts w:ascii="Times New Roman" w:hAnsi="Times New Roman" w:cs="Times New Roman" w:eastAsiaTheme="minorEastAsia"/>
                <w:sz w:val="24"/>
                <w:szCs w:val="24"/>
                <w:lang w:eastAsia="zh-CN"/>
              </w:rPr>
              <w:t>主要业务为境外项目投资、境外工程承包等。</w:t>
            </w:r>
          </w:p>
          <w:p>
            <w:pPr>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其最终控制人为中国南方电网有限责任公司，主要业务为投资、建设和经营南方区域电网等。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944" w:type="dxa"/>
            <w:vMerge w:val="restart"/>
            <w:shd w:val="clear" w:color="auto" w:fill="D9D9D9"/>
            <w:vAlign w:val="center"/>
          </w:tcPr>
          <w:p>
            <w:pPr>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简易案件理由（可以单选，也可以多选）</w:t>
            </w:r>
          </w:p>
        </w:tc>
        <w:tc>
          <w:tcPr>
            <w:tcW w:w="7700" w:type="dxa"/>
            <w:gridSpan w:val="2"/>
            <w:vAlign w:val="center"/>
          </w:tcPr>
          <w:p>
            <w:pPr>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rPr>
              <w:sym w:font="Wingdings 2" w:char="0052"/>
            </w:r>
            <w:r>
              <w:rPr>
                <w:rFonts w:ascii="Times New Roman" w:hAnsi="Times New Roman" w:cs="Times New Roman" w:eastAsiaTheme="minorEastAsia"/>
                <w:sz w:val="24"/>
                <w:szCs w:val="24"/>
                <w:lang w:eastAsia="zh-CN"/>
              </w:rPr>
              <w:t xml:space="preserve"> 1.在同一相关市场，参与集中的经营者所占的市场份额之和小于15%。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944" w:type="dxa"/>
            <w:vMerge w:val="continue"/>
            <w:vAlign w:val="center"/>
          </w:tcPr>
          <w:p>
            <w:pPr>
              <w:rPr>
                <w:rFonts w:ascii="Times New Roman" w:hAnsi="Times New Roman" w:cs="Times New Roman" w:eastAsiaTheme="minorEastAsia"/>
                <w:sz w:val="24"/>
                <w:szCs w:val="24"/>
                <w:lang w:eastAsia="zh-CN"/>
              </w:rPr>
            </w:pPr>
          </w:p>
        </w:tc>
        <w:tc>
          <w:tcPr>
            <w:tcW w:w="7700" w:type="dxa"/>
            <w:gridSpan w:val="2"/>
            <w:vAlign w:val="center"/>
          </w:tcPr>
          <w:p>
            <w:pPr>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rPr>
              <w:sym w:font="Wingdings 2" w:char="0052"/>
            </w:r>
            <w:r>
              <w:rPr>
                <w:rFonts w:ascii="Times New Roman" w:hAnsi="Times New Roman" w:cs="Times New Roman" w:eastAsiaTheme="minorEastAsia"/>
                <w:sz w:val="24"/>
                <w:szCs w:val="24"/>
                <w:lang w:eastAsia="zh-CN"/>
              </w:rPr>
              <w:t xml:space="preserve"> 2.在上下游市场，参与集中的经营者所占的市场份额均小于25%。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1944" w:type="dxa"/>
            <w:vMerge w:val="continue"/>
            <w:vAlign w:val="center"/>
          </w:tcPr>
          <w:p>
            <w:pPr>
              <w:rPr>
                <w:rFonts w:ascii="Times New Roman" w:hAnsi="Times New Roman" w:cs="Times New Roman" w:eastAsiaTheme="minorEastAsia"/>
                <w:sz w:val="24"/>
                <w:szCs w:val="24"/>
                <w:lang w:eastAsia="zh-CN"/>
              </w:rPr>
            </w:pPr>
          </w:p>
        </w:tc>
        <w:tc>
          <w:tcPr>
            <w:tcW w:w="7700" w:type="dxa"/>
            <w:gridSpan w:val="2"/>
            <w:vAlign w:val="center"/>
          </w:tcPr>
          <w:p>
            <w:pPr>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rPr>
              <w:sym w:font="Wingdings 2" w:char="00A3"/>
            </w:r>
            <w:r>
              <w:rPr>
                <w:rFonts w:ascii="Times New Roman" w:hAnsi="Times New Roman" w:cs="Times New Roman" w:eastAsiaTheme="minorEastAsia"/>
                <w:sz w:val="24"/>
                <w:szCs w:val="24"/>
                <w:lang w:eastAsia="zh-CN"/>
              </w:rPr>
              <w:t xml:space="preserve"> 3.不在同一相关市场也不存在上下游关系的参与集中的经营者 ，在与 交易有关的每个市场所占的市场份额均小于25%。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9" w:hRule="atLeast"/>
        </w:trPr>
        <w:tc>
          <w:tcPr>
            <w:tcW w:w="1944" w:type="dxa"/>
            <w:vMerge w:val="continue"/>
            <w:shd w:val="clear" w:color="auto" w:fill="D9D9D9"/>
          </w:tcPr>
          <w:p>
            <w:pPr>
              <w:rPr>
                <w:rFonts w:ascii="Times New Roman" w:hAnsi="Times New Roman" w:cs="Times New Roman" w:eastAsiaTheme="minorEastAsia"/>
                <w:sz w:val="24"/>
                <w:szCs w:val="24"/>
                <w:lang w:eastAsia="zh-CN"/>
              </w:rPr>
            </w:pPr>
          </w:p>
        </w:tc>
        <w:tc>
          <w:tcPr>
            <w:tcW w:w="7700" w:type="dxa"/>
            <w:gridSpan w:val="2"/>
          </w:tcPr>
          <w:p>
            <w:pPr>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rPr>
              <w:sym w:font="Wingdings 2" w:char="00A3"/>
            </w:r>
            <w:r>
              <w:rPr>
                <w:rFonts w:ascii="Times New Roman" w:hAnsi="Times New Roman" w:cs="Times New Roman" w:eastAsiaTheme="minorEastAsia"/>
                <w:sz w:val="24"/>
                <w:szCs w:val="24"/>
                <w:lang w:eastAsia="zh-CN"/>
              </w:rPr>
              <w:t xml:space="preserve"> 4.参与集中的经营者在中国境外设立合营企业，合营企业不在中国境 内从事经济活动。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1944" w:type="dxa"/>
            <w:vMerge w:val="continue"/>
          </w:tcPr>
          <w:p>
            <w:pPr>
              <w:rPr>
                <w:rFonts w:ascii="Times New Roman" w:hAnsi="Times New Roman" w:cs="Times New Roman" w:eastAsiaTheme="minorEastAsia"/>
                <w:sz w:val="24"/>
                <w:szCs w:val="24"/>
                <w:lang w:eastAsia="zh-CN"/>
              </w:rPr>
            </w:pPr>
          </w:p>
        </w:tc>
        <w:tc>
          <w:tcPr>
            <w:tcW w:w="7700" w:type="dxa"/>
            <w:gridSpan w:val="2"/>
          </w:tcPr>
          <w:p>
            <w:pPr>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rPr>
              <w:sym w:font="Wingdings 2" w:char="00A3"/>
            </w:r>
            <w:r>
              <w:rPr>
                <w:rFonts w:ascii="Times New Roman" w:hAnsi="Times New Roman" w:cs="Times New Roman" w:eastAsiaTheme="minorEastAsia"/>
                <w:sz w:val="24"/>
                <w:szCs w:val="24"/>
                <w:lang w:eastAsia="zh-CN"/>
              </w:rPr>
              <w:t xml:space="preserve"> 5.参与集中的经营者收购境外企业股权或资产的，该境外企业不在中 国境内从事经济活动。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944" w:type="dxa"/>
            <w:vMerge w:val="continue"/>
          </w:tcPr>
          <w:p>
            <w:pPr>
              <w:rPr>
                <w:rFonts w:ascii="Times New Roman" w:hAnsi="Times New Roman" w:cs="Times New Roman" w:eastAsiaTheme="minorEastAsia"/>
                <w:sz w:val="24"/>
                <w:szCs w:val="24"/>
                <w:lang w:eastAsia="zh-CN"/>
              </w:rPr>
            </w:pPr>
          </w:p>
        </w:tc>
        <w:tc>
          <w:tcPr>
            <w:tcW w:w="7700" w:type="dxa"/>
            <w:gridSpan w:val="2"/>
          </w:tcPr>
          <w:p>
            <w:pPr>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rPr>
              <w:sym w:font="Wingdings 2" w:char="00A3"/>
            </w:r>
            <w:r>
              <w:rPr>
                <w:rFonts w:ascii="Times New Roman" w:hAnsi="Times New Roman" w:cs="Times New Roman" w:eastAsiaTheme="minorEastAsia"/>
                <w:sz w:val="24"/>
                <w:szCs w:val="24"/>
                <w:lang w:eastAsia="zh-CN"/>
              </w:rPr>
              <w:t xml:space="preserve"> 6. 由两个以上的经营者共同控制的合营企业 ，通过集中被其中一个或 一个以上经营者控制。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1944" w:type="dxa"/>
            <w:shd w:val="clear" w:color="auto" w:fill="D9D9D9"/>
            <w:vAlign w:val="center"/>
          </w:tcPr>
          <w:p>
            <w:pPr>
              <w:rPr>
                <w:rFonts w:ascii="Times New Roman" w:hAnsi="Times New Roman" w:cs="Times New Roman" w:eastAsiaTheme="minorEastAsia"/>
                <w:sz w:val="24"/>
                <w:szCs w:val="24"/>
              </w:rPr>
            </w:pPr>
            <w:r>
              <w:rPr>
                <w:rFonts w:ascii="Times New Roman" w:hAnsi="Times New Roman" w:cs="Times New Roman" w:eastAsiaTheme="minorEastAsia"/>
                <w:sz w:val="24"/>
                <w:szCs w:val="24"/>
              </w:rPr>
              <w:t>备注</w:t>
            </w:r>
          </w:p>
        </w:tc>
        <w:tc>
          <w:tcPr>
            <w:tcW w:w="7700" w:type="dxa"/>
            <w:gridSpan w:val="2"/>
            <w:vAlign w:val="center"/>
          </w:tcPr>
          <w:p>
            <w:pPr>
              <w:pStyle w:val="2"/>
              <w:rPr>
                <w:rFonts w:hint="eastAsia"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lang w:eastAsia="zh-CN"/>
              </w:rPr>
              <w:t>横向集中：</w:t>
            </w:r>
          </w:p>
          <w:p>
            <w:pPr>
              <w:pStyle w:val="2"/>
              <w:rPr>
                <w:rFonts w:hint="eastAsia"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lang w:eastAsia="zh-CN"/>
              </w:rPr>
              <w:t>2024年中国境内电力工程总承包市场：</w:t>
            </w:r>
          </w:p>
          <w:p>
            <w:pPr>
              <w:pStyle w:val="2"/>
              <w:rPr>
                <w:rFonts w:hint="eastAsia"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lang w:eastAsia="zh-CN"/>
              </w:rPr>
              <w:t>中国重机：0-5%；澜湄国际：0-5%；各方合计：0-5%。</w:t>
            </w:r>
          </w:p>
          <w:p>
            <w:pPr>
              <w:pStyle w:val="2"/>
              <w:rPr>
                <w:rFonts w:hint="eastAsia" w:ascii="Times New Roman" w:hAnsi="Times New Roman" w:cs="Times New Roman" w:eastAsiaTheme="minorEastAsia"/>
                <w:sz w:val="24"/>
                <w:szCs w:val="24"/>
                <w:lang w:eastAsia="zh-CN"/>
              </w:rPr>
            </w:pPr>
          </w:p>
          <w:p>
            <w:pPr>
              <w:pStyle w:val="2"/>
              <w:rPr>
                <w:rFonts w:hint="eastAsia"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lang w:eastAsia="zh-CN"/>
              </w:rPr>
              <w:t>纵向关联：</w:t>
            </w:r>
          </w:p>
          <w:p>
            <w:pPr>
              <w:pStyle w:val="2"/>
              <w:rPr>
                <w:rFonts w:hint="eastAsia"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lang w:eastAsia="zh-CN"/>
              </w:rPr>
              <w:t>上游：2024年中国境内电力工程总承包市场：</w:t>
            </w:r>
          </w:p>
          <w:p>
            <w:pPr>
              <w:pStyle w:val="2"/>
              <w:rPr>
                <w:rFonts w:hint="eastAsia"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lang w:eastAsia="zh-CN"/>
              </w:rPr>
              <w:t>中国重机：如上所述；澜湄国际：如上所述。</w:t>
            </w:r>
          </w:p>
          <w:p>
            <w:pPr>
              <w:pStyle w:val="2"/>
              <w:rPr>
                <w:rFonts w:hint="eastAsia"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lang w:eastAsia="zh-CN"/>
              </w:rPr>
              <w:t>下游：2024年中国境内电力生产与供应市场：</w:t>
            </w:r>
          </w:p>
          <w:p>
            <w:pPr>
              <w:pStyle w:val="2"/>
              <w:rPr>
                <w:rFonts w:hint="eastAsia"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lang w:eastAsia="zh-CN"/>
              </w:rPr>
              <w:t>澜湄国际：0-5%。</w:t>
            </w:r>
            <w:bookmarkStart w:id="0" w:name="_GoBack"/>
            <w:bookmarkEnd w:id="0"/>
          </w:p>
        </w:tc>
      </w:tr>
    </w:tbl>
    <w:p>
      <w:pPr>
        <w:spacing w:before="34"/>
        <w:rPr>
          <w:rFonts w:hint="eastAsia" w:asciiTheme="minorEastAsia" w:hAnsiTheme="minorEastAsia" w:eastAsiaTheme="minorEastAsia"/>
          <w:lang w:eastAsia="zh-CN"/>
        </w:rPr>
      </w:pPr>
    </w:p>
    <w:sectPr>
      <w:pgSz w:w="11906" w:h="16838"/>
      <w:pgMar w:top="1431" w:right="1473" w:bottom="0" w:left="1361"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PingFang SC">
    <w:altName w:val="思源宋体"/>
    <w:panose1 w:val="00000000000000000000"/>
    <w:charset w:val="86"/>
    <w:family w:val="swiss"/>
    <w:pitch w:val="default"/>
    <w:sig w:usb0="00000000" w:usb1="00000000" w:usb2="00000017"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思源宋体">
    <w:panose1 w:val="02020500000000000000"/>
    <w:charset w:val="86"/>
    <w:family w:val="auto"/>
    <w:pitch w:val="default"/>
    <w:sig w:usb0="30000083" w:usb1="2BDF3C10" w:usb2="00000016" w:usb3="00000000" w:csb0="602E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displayBackgroundShape w:val="true"/>
  <w:bordersDoNotSurroundHeader w:val="true"/>
  <w:bordersDoNotSurroundFooter w:val="true"/>
  <w:documentProtection w:enforcement="0"/>
  <w:defaultTabStop w:val="420"/>
  <w:displayHorizontalDrawingGridEvery w:val="0"/>
  <w:displayVerticalDrawingGridEvery w:val="2"/>
  <w:characterSpacingControl w:val="doNotCompress"/>
  <w:compat>
    <w:spaceForUL/>
    <w:balanceSingleByteDoubleByteWidth/>
    <w:ulTrailSpace/>
    <w:doNotExpandShiftReturn/>
    <w:adjustLineHeightInTable/>
    <w:useFELayout/>
    <w:compatSetting w:name="compatibilityMode" w:uri="http://schemas.microsoft.com/office/word" w:val="14"/>
  </w:compat>
  <w:rsids>
    <w:rsidRoot w:val="00A81BBE"/>
    <w:rsid w:val="00014E41"/>
    <w:rsid w:val="00085BDA"/>
    <w:rsid w:val="001B3531"/>
    <w:rsid w:val="00272DA7"/>
    <w:rsid w:val="002C7D37"/>
    <w:rsid w:val="002D7B1C"/>
    <w:rsid w:val="00400026"/>
    <w:rsid w:val="00462830"/>
    <w:rsid w:val="004A3446"/>
    <w:rsid w:val="004F6DDD"/>
    <w:rsid w:val="00660247"/>
    <w:rsid w:val="006B233C"/>
    <w:rsid w:val="007117E0"/>
    <w:rsid w:val="00772688"/>
    <w:rsid w:val="00804167"/>
    <w:rsid w:val="00880014"/>
    <w:rsid w:val="008F767A"/>
    <w:rsid w:val="00930A2A"/>
    <w:rsid w:val="009C351F"/>
    <w:rsid w:val="00A81BBE"/>
    <w:rsid w:val="00A863E7"/>
    <w:rsid w:val="00A9582C"/>
    <w:rsid w:val="00AB4F79"/>
    <w:rsid w:val="00B75927"/>
    <w:rsid w:val="00BB2C9A"/>
    <w:rsid w:val="00BB4212"/>
    <w:rsid w:val="00C907CA"/>
    <w:rsid w:val="00CA2FC9"/>
    <w:rsid w:val="00E140CB"/>
    <w:rsid w:val="00EE0038"/>
    <w:rsid w:val="1FED3614"/>
    <w:rsid w:val="3FEFBFB1"/>
    <w:rsid w:val="5ABE7943"/>
    <w:rsid w:val="77EFA475"/>
    <w:rsid w:val="7DEFBD4A"/>
    <w:rsid w:val="7DFE0DB6"/>
    <w:rsid w:val="7FDDC932"/>
    <w:rsid w:val="7FFB832C"/>
    <w:rsid w:val="95FF6E0A"/>
    <w:rsid w:val="BEBDF52E"/>
    <w:rsid w:val="BFE36900"/>
    <w:rsid w:val="D59FFDC2"/>
    <w:rsid w:val="DFFAD376"/>
    <w:rsid w:val="EFF33E6F"/>
    <w:rsid w:val="F7F6C557"/>
    <w:rsid w:val="FDD7E489"/>
    <w:rsid w:val="FEBFC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PingFang SC" w:hAnsi="PingFang SC" w:eastAsia="PingFang SC" w:cs="PingFang SC"/>
      <w:sz w:val="28"/>
      <w:szCs w:val="28"/>
    </w:rPr>
  </w:style>
  <w:style w:type="paragraph" w:styleId="3">
    <w:name w:val="annotation text"/>
    <w:basedOn w:val="1"/>
    <w:qFormat/>
    <w:uiPriority w:val="0"/>
  </w:style>
  <w:style w:type="paragraph" w:styleId="4">
    <w:name w:val="footer"/>
    <w:basedOn w:val="1"/>
    <w:link w:val="13"/>
    <w:qFormat/>
    <w:uiPriority w:val="0"/>
    <w:pPr>
      <w:tabs>
        <w:tab w:val="center" w:pos="4153"/>
        <w:tab w:val="right" w:pos="8306"/>
      </w:tabs>
    </w:pPr>
    <w:rPr>
      <w:sz w:val="18"/>
      <w:szCs w:val="18"/>
    </w:rPr>
  </w:style>
  <w:style w:type="paragraph" w:styleId="5">
    <w:name w:val="header"/>
    <w:basedOn w:val="1"/>
    <w:link w:val="12"/>
    <w:qFormat/>
    <w:uiPriority w:val="0"/>
    <w:pPr>
      <w:tabs>
        <w:tab w:val="center" w:pos="4153"/>
        <w:tab w:val="right" w:pos="8306"/>
      </w:tabs>
      <w:jc w:val="center"/>
    </w:pPr>
    <w:rPr>
      <w:sz w:val="18"/>
      <w:szCs w:val="18"/>
    </w:rPr>
  </w:style>
  <w:style w:type="character" w:styleId="8">
    <w:name w:val="annotation reference"/>
    <w:basedOn w:val="7"/>
    <w:qFormat/>
    <w:uiPriority w:val="0"/>
    <w:rPr>
      <w:sz w:val="21"/>
      <w:szCs w:val="21"/>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PingFang SC" w:hAnsi="PingFang SC" w:eastAsia="PingFang SC" w:cs="PingFang SC"/>
      <w:sz w:val="24"/>
      <w:szCs w:val="24"/>
    </w:rPr>
  </w:style>
  <w:style w:type="paragraph" w:styleId="11">
    <w:name w:val="List Paragraph"/>
    <w:basedOn w:val="1"/>
    <w:unhideWhenUsed/>
    <w:qFormat/>
    <w:uiPriority w:val="99"/>
    <w:pPr>
      <w:ind w:firstLine="420" w:firstLineChars="200"/>
    </w:pPr>
  </w:style>
  <w:style w:type="character" w:customStyle="1" w:styleId="12">
    <w:name w:val="页眉 字符"/>
    <w:basedOn w:val="7"/>
    <w:link w:val="5"/>
    <w:qFormat/>
    <w:uiPriority w:val="0"/>
    <w:rPr>
      <w:rFonts w:ascii="Arial" w:hAnsi="Arial" w:eastAsia="Arial" w:cs="Arial"/>
      <w:snapToGrid w:val="0"/>
      <w:color w:val="000000"/>
      <w:sz w:val="18"/>
      <w:szCs w:val="18"/>
      <w:lang w:eastAsia="en-US"/>
    </w:rPr>
  </w:style>
  <w:style w:type="character" w:customStyle="1" w:styleId="13">
    <w:name w:val="页脚 字符"/>
    <w:basedOn w:val="7"/>
    <w:link w:val="4"/>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133</Words>
  <Characters>761</Characters>
  <Lines>6</Lines>
  <Paragraphs>1</Paragraphs>
  <TotalTime>1</TotalTime>
  <ScaleCrop>false</ScaleCrop>
  <LinksUpToDate>false</LinksUpToDate>
  <CharactersWithSpaces>893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2024-09-15T01:21:00Z</dcterms:created>
  <dc:creator>oa</dc:creator>
  <cp:lastModifiedBy>scjgj</cp:lastModifiedBy>
  <dcterms:modified xsi:type="dcterms:W3CDTF">2025-05-26T16:50:35Z</dcterms:modified>
  <dc:title>附件4</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2025-04-09T18:00:31Z</vt:filetime>
  </property>
  <property fmtid="{D5CDD505-2E9C-101B-9397-08002B2CF9AE}" pid="4" name="KSOProductBuildVer">
    <vt:lpwstr>2052-11.8.2.10386</vt:lpwstr>
  </property>
  <property fmtid="{D5CDD505-2E9C-101B-9397-08002B2CF9AE}" pid="5" name="ICV">
    <vt:lpwstr>04B15DEC25BA94E5904AF667A8500F35_43</vt:lpwstr>
  </property>
</Properties>
</file>