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Times New Roman" w:hAnsi="Times New Roman" w:eastAsia="黑体"/>
          <w:sz w:val="36"/>
          <w:szCs w:val="36"/>
        </w:rPr>
      </w:pPr>
      <w:r>
        <w:rPr>
          <w:rFonts w:hint="eastAsia" w:ascii="Times New Roman" w:hAnsi="Times New Roman" w:eastAsia="黑体"/>
          <w:sz w:val="36"/>
          <w:szCs w:val="36"/>
        </w:rPr>
        <w:t>经营者集中简易案件公示表</w:t>
      </w:r>
    </w:p>
    <w:p>
      <w:pPr>
        <w:spacing w:line="440" w:lineRule="exact"/>
        <w:rPr>
          <w:rFonts w:ascii="Times New Roman" w:hAnsi="Times New Roman" w:eastAsia="仿宋_GB2312"/>
          <w:sz w:val="24"/>
          <w:szCs w:val="24"/>
        </w:rPr>
      </w:pPr>
    </w:p>
    <w:tbl>
      <w:tblPr>
        <w:tblStyle w:val="9"/>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796"/>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shd w:val="clear" w:color="auto" w:fill="D9D9D9"/>
            <w:vAlign w:val="center"/>
          </w:tcPr>
          <w:p>
            <w:pPr>
              <w:snapToGrid w:val="0"/>
              <w:jc w:val="center"/>
              <w:rPr>
                <w:rFonts w:ascii="Times New Roman" w:hAnsi="Times New Roman"/>
                <w:b/>
                <w:kern w:val="0"/>
                <w:sz w:val="24"/>
                <w:szCs w:val="24"/>
              </w:rPr>
            </w:pPr>
            <w:r>
              <w:rPr>
                <w:rFonts w:hint="eastAsia" w:ascii="Times New Roman" w:hAnsi="Times New Roman"/>
                <w:b/>
                <w:kern w:val="0"/>
                <w:sz w:val="24"/>
                <w:szCs w:val="24"/>
              </w:rPr>
              <w:t>案件名称</w:t>
            </w:r>
          </w:p>
        </w:tc>
        <w:tc>
          <w:tcPr>
            <w:tcW w:w="6949" w:type="dxa"/>
            <w:gridSpan w:val="2"/>
            <w:vAlign w:val="center"/>
          </w:tcPr>
          <w:p>
            <w:pPr>
              <w:snapToGrid w:val="0"/>
              <w:rPr>
                <w:rFonts w:ascii="Times New Roman" w:hAnsi="Times New Roman"/>
                <w:bCs/>
                <w:kern w:val="0"/>
                <w:sz w:val="24"/>
                <w:szCs w:val="24"/>
              </w:rPr>
            </w:pPr>
            <w:r>
              <w:rPr>
                <w:rFonts w:hint="eastAsia" w:ascii="Times New Roman" w:hAnsi="Times New Roman"/>
                <w:bCs/>
                <w:kern w:val="0"/>
                <w:sz w:val="24"/>
                <w:szCs w:val="24"/>
              </w:rPr>
              <w:t>索尼（中国）有限公司收购索尼互动娱乐（上海）有限公司等两家公司股权案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809" w:type="dxa"/>
            <w:shd w:val="clear" w:color="auto" w:fill="D9D9D9"/>
            <w:vAlign w:val="center"/>
          </w:tcPr>
          <w:p>
            <w:pPr>
              <w:snapToGrid w:val="0"/>
              <w:jc w:val="center"/>
              <w:rPr>
                <w:rFonts w:ascii="Times New Roman" w:hAnsi="Times New Roman"/>
                <w:b/>
                <w:kern w:val="0"/>
                <w:sz w:val="24"/>
                <w:szCs w:val="24"/>
              </w:rPr>
            </w:pPr>
            <w:r>
              <w:rPr>
                <w:rFonts w:hint="eastAsia" w:ascii="Times New Roman" w:hAnsi="Times New Roman"/>
                <w:b/>
                <w:kern w:val="0"/>
                <w:sz w:val="24"/>
                <w:szCs w:val="24"/>
              </w:rPr>
              <w:t>交易概况</w:t>
            </w:r>
          </w:p>
          <w:p>
            <w:pPr>
              <w:snapToGrid w:val="0"/>
              <w:ind w:left="-107" w:leftChars="-51" w:right="-139" w:rightChars="-66"/>
              <w:jc w:val="center"/>
              <w:rPr>
                <w:rFonts w:ascii="Times New Roman" w:hAnsi="Times New Roman"/>
                <w:b/>
                <w:kern w:val="0"/>
                <w:sz w:val="24"/>
                <w:szCs w:val="24"/>
              </w:rPr>
            </w:pPr>
            <w:r>
              <w:rPr>
                <w:rFonts w:hint="eastAsia" w:ascii="Times New Roman" w:hAnsi="Times New Roman"/>
                <w:b/>
                <w:kern w:val="0"/>
                <w:sz w:val="24"/>
                <w:szCs w:val="24"/>
              </w:rPr>
              <w:t>（限</w:t>
            </w:r>
            <w:r>
              <w:rPr>
                <w:rFonts w:ascii="Times New Roman" w:hAnsi="Times New Roman"/>
                <w:b/>
                <w:kern w:val="0"/>
                <w:sz w:val="24"/>
                <w:szCs w:val="24"/>
              </w:rPr>
              <w:t>200</w:t>
            </w:r>
            <w:r>
              <w:rPr>
                <w:rFonts w:hint="eastAsia" w:ascii="Times New Roman" w:hAnsi="Times New Roman"/>
                <w:b/>
                <w:kern w:val="0"/>
                <w:sz w:val="24"/>
                <w:szCs w:val="24"/>
              </w:rPr>
              <w:t>字内）</w:t>
            </w:r>
          </w:p>
        </w:tc>
        <w:tc>
          <w:tcPr>
            <w:tcW w:w="6949" w:type="dxa"/>
            <w:gridSpan w:val="2"/>
          </w:tcPr>
          <w:p>
            <w:pPr>
              <w:snapToGrid w:val="0"/>
              <w:rPr>
                <w:rFonts w:ascii="Times New Roman" w:hAnsi="Times New Roman"/>
                <w:bCs/>
                <w:kern w:val="0"/>
                <w:sz w:val="24"/>
                <w:szCs w:val="24"/>
              </w:rPr>
            </w:pPr>
            <w:r>
              <w:rPr>
                <w:rFonts w:hint="eastAsia" w:ascii="Times New Roman" w:hAnsi="Times New Roman"/>
                <w:bCs/>
                <w:kern w:val="0"/>
                <w:sz w:val="24"/>
                <w:szCs w:val="24"/>
              </w:rPr>
              <w:t>索尼（中国）有限公司（“</w:t>
            </w:r>
            <w:r>
              <w:rPr>
                <w:rFonts w:hint="eastAsia" w:ascii="Times New Roman" w:hAnsi="Times New Roman"/>
                <w:b/>
                <w:kern w:val="0"/>
                <w:sz w:val="24"/>
                <w:szCs w:val="24"/>
              </w:rPr>
              <w:t>索尼中国</w:t>
            </w:r>
            <w:r>
              <w:rPr>
                <w:rFonts w:hint="eastAsia" w:ascii="Times New Roman" w:hAnsi="Times New Roman"/>
                <w:bCs/>
                <w:kern w:val="0"/>
                <w:sz w:val="24"/>
                <w:szCs w:val="24"/>
              </w:rPr>
              <w:t>”）与上海东方明珠文化发展有限公司（“</w:t>
            </w:r>
            <w:r>
              <w:rPr>
                <w:rFonts w:hint="eastAsia" w:ascii="Times New Roman" w:hAnsi="Times New Roman"/>
                <w:b/>
                <w:kern w:val="0"/>
                <w:sz w:val="24"/>
                <w:szCs w:val="24"/>
              </w:rPr>
              <w:t>东方明珠</w:t>
            </w:r>
            <w:r>
              <w:rPr>
                <w:rFonts w:hint="eastAsia" w:ascii="Times New Roman" w:hAnsi="Times New Roman"/>
                <w:bCs/>
                <w:kern w:val="0"/>
                <w:sz w:val="24"/>
                <w:szCs w:val="24"/>
              </w:rPr>
              <w:t>”）等签署协议，索尼中国收购索尼互动娱乐（上海）有限公司（“</w:t>
            </w:r>
            <w:r>
              <w:rPr>
                <w:rFonts w:hint="eastAsia" w:ascii="Times New Roman" w:hAnsi="Times New Roman"/>
                <w:b/>
                <w:kern w:val="0"/>
                <w:sz w:val="24"/>
                <w:szCs w:val="24"/>
              </w:rPr>
              <w:t>索尼互娱上海</w:t>
            </w:r>
            <w:r>
              <w:rPr>
                <w:rFonts w:hint="eastAsia" w:ascii="Times New Roman" w:hAnsi="Times New Roman"/>
                <w:bCs/>
                <w:kern w:val="0"/>
                <w:sz w:val="24"/>
                <w:szCs w:val="24"/>
              </w:rPr>
              <w:t>”）30%及上海东方明珠索乐文化发展有限公司（“</w:t>
            </w:r>
            <w:r>
              <w:rPr>
                <w:rFonts w:hint="eastAsia" w:ascii="Times New Roman" w:hAnsi="Times New Roman"/>
                <w:b/>
                <w:kern w:val="0"/>
                <w:sz w:val="24"/>
                <w:szCs w:val="24"/>
              </w:rPr>
              <w:t>上海东方明珠索乐</w:t>
            </w:r>
            <w:r>
              <w:rPr>
                <w:rFonts w:hint="eastAsia" w:ascii="Times New Roman" w:hAnsi="Times New Roman"/>
                <w:bCs/>
                <w:kern w:val="0"/>
                <w:sz w:val="24"/>
                <w:szCs w:val="24"/>
              </w:rPr>
              <w:t>”，与索尼互娱上海合称“</w:t>
            </w:r>
            <w:r>
              <w:rPr>
                <w:rFonts w:hint="eastAsia" w:ascii="Times New Roman" w:hAnsi="Times New Roman"/>
                <w:b/>
                <w:kern w:val="0"/>
                <w:sz w:val="24"/>
                <w:szCs w:val="24"/>
              </w:rPr>
              <w:t>目标公司</w:t>
            </w:r>
            <w:r>
              <w:rPr>
                <w:rFonts w:hint="eastAsia" w:ascii="Times New Roman" w:hAnsi="Times New Roman"/>
                <w:bCs/>
                <w:kern w:val="0"/>
                <w:sz w:val="24"/>
                <w:szCs w:val="24"/>
              </w:rPr>
              <w:t>”）51%的股份。目标公司主要在中国境内从事家庭用游戏机</w:t>
            </w:r>
            <w:r>
              <w:rPr>
                <w:rFonts w:ascii="Times New Roman" w:hAnsi="Times New Roman"/>
                <w:bCs/>
                <w:kern w:val="0"/>
                <w:sz w:val="24"/>
                <w:szCs w:val="24"/>
              </w:rPr>
              <w:t>业务</w:t>
            </w:r>
            <w:r>
              <w:rPr>
                <w:rFonts w:hint="eastAsia" w:ascii="Times New Roman" w:hAnsi="Times New Roman"/>
                <w:bCs/>
                <w:kern w:val="0"/>
                <w:sz w:val="24"/>
                <w:szCs w:val="24"/>
              </w:rPr>
              <w:t>。交易前，索尼中国和东方明珠分别持有索尼互娱上海70%与30%的股份及上海东方明珠索乐49%与51%的股份，共同控制目标公司。交易后，索尼中国将持有目标公司100%的股份，单独控制目标公司。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09" w:type="dxa"/>
            <w:vMerge w:val="restart"/>
            <w:shd w:val="clear" w:color="auto" w:fill="D9D9D9"/>
            <w:vAlign w:val="center"/>
          </w:tcPr>
          <w:p>
            <w:pPr>
              <w:snapToGrid w:val="0"/>
              <w:jc w:val="center"/>
              <w:rPr>
                <w:rFonts w:ascii="Times New Roman" w:hAnsi="Times New Roman"/>
                <w:b/>
                <w:kern w:val="0"/>
                <w:sz w:val="24"/>
                <w:szCs w:val="24"/>
              </w:rPr>
            </w:pPr>
            <w:r>
              <w:rPr>
                <w:rFonts w:hint="eastAsia" w:ascii="Times New Roman" w:hAnsi="Times New Roman"/>
                <w:b/>
                <w:kern w:val="0"/>
                <w:sz w:val="24"/>
                <w:szCs w:val="24"/>
              </w:rPr>
              <w:t>参与集中的</w:t>
            </w:r>
          </w:p>
          <w:p>
            <w:pPr>
              <w:snapToGrid w:val="0"/>
              <w:jc w:val="center"/>
              <w:rPr>
                <w:rFonts w:ascii="Times New Roman" w:hAnsi="Times New Roman"/>
                <w:b/>
                <w:kern w:val="0"/>
                <w:sz w:val="24"/>
                <w:szCs w:val="24"/>
              </w:rPr>
            </w:pPr>
            <w:r>
              <w:rPr>
                <w:rFonts w:hint="eastAsia" w:ascii="Times New Roman" w:hAnsi="Times New Roman"/>
                <w:b/>
                <w:kern w:val="0"/>
                <w:sz w:val="24"/>
                <w:szCs w:val="24"/>
              </w:rPr>
              <w:t>经营者简介（每个限1</w:t>
            </w:r>
            <w:r>
              <w:rPr>
                <w:rFonts w:ascii="Times New Roman" w:hAnsi="Times New Roman"/>
                <w:b/>
                <w:kern w:val="0"/>
                <w:sz w:val="24"/>
                <w:szCs w:val="24"/>
              </w:rPr>
              <w:t>00</w:t>
            </w:r>
            <w:r>
              <w:rPr>
                <w:rFonts w:hint="eastAsia" w:ascii="Times New Roman" w:hAnsi="Times New Roman"/>
                <w:b/>
                <w:kern w:val="0"/>
                <w:sz w:val="24"/>
                <w:szCs w:val="24"/>
              </w:rPr>
              <w:t>字以内）</w:t>
            </w:r>
          </w:p>
        </w:tc>
        <w:tc>
          <w:tcPr>
            <w:tcW w:w="1796" w:type="dxa"/>
          </w:tcPr>
          <w:p>
            <w:pPr>
              <w:snapToGrid w:val="0"/>
              <w:rPr>
                <w:rFonts w:ascii="Times New Roman" w:hAnsi="Times New Roman"/>
                <w:bCs/>
                <w:kern w:val="0"/>
                <w:sz w:val="24"/>
                <w:szCs w:val="24"/>
              </w:rPr>
            </w:pPr>
            <w:r>
              <w:rPr>
                <w:rFonts w:hint="eastAsia" w:ascii="Times New Roman" w:hAnsi="Times New Roman"/>
                <w:kern w:val="0"/>
                <w:sz w:val="24"/>
                <w:szCs w:val="24"/>
              </w:rPr>
              <w:t>1. 索尼中国</w:t>
            </w:r>
          </w:p>
        </w:tc>
        <w:tc>
          <w:tcPr>
            <w:tcW w:w="5153" w:type="dxa"/>
          </w:tcPr>
          <w:p>
            <w:pPr>
              <w:snapToGrid w:val="0"/>
              <w:rPr>
                <w:rFonts w:ascii="Times New Roman" w:hAnsi="Times New Roman"/>
                <w:kern w:val="0"/>
                <w:sz w:val="24"/>
                <w:szCs w:val="24"/>
              </w:rPr>
            </w:pPr>
            <w:r>
              <w:rPr>
                <w:rFonts w:hint="eastAsia" w:ascii="Times New Roman" w:hAnsi="Times New Roman"/>
                <w:kern w:val="0"/>
                <w:sz w:val="24"/>
                <w:szCs w:val="24"/>
              </w:rPr>
              <w:t>索尼中国于</w:t>
            </w:r>
            <w:r>
              <w:rPr>
                <w:rFonts w:ascii="Times New Roman" w:hAnsi="Times New Roman"/>
                <w:kern w:val="0"/>
                <w:sz w:val="24"/>
                <w:szCs w:val="24"/>
              </w:rPr>
              <w:t>1996</w:t>
            </w:r>
            <w:r>
              <w:rPr>
                <w:rFonts w:hint="eastAsia" w:ascii="Times New Roman" w:hAnsi="Times New Roman"/>
                <w:kern w:val="0"/>
                <w:sz w:val="24"/>
                <w:szCs w:val="24"/>
              </w:rPr>
              <w:t>年</w:t>
            </w:r>
            <w:r>
              <w:rPr>
                <w:rFonts w:ascii="Times New Roman" w:hAnsi="Times New Roman"/>
                <w:kern w:val="0"/>
                <w:sz w:val="24"/>
                <w:szCs w:val="24"/>
              </w:rPr>
              <w:t>10</w:t>
            </w:r>
            <w:r>
              <w:rPr>
                <w:rFonts w:hint="eastAsia" w:ascii="Times New Roman" w:hAnsi="Times New Roman"/>
                <w:kern w:val="0"/>
                <w:sz w:val="24"/>
                <w:szCs w:val="24"/>
              </w:rPr>
              <w:t>月</w:t>
            </w:r>
            <w:r>
              <w:rPr>
                <w:rFonts w:ascii="Times New Roman" w:hAnsi="Times New Roman"/>
                <w:kern w:val="0"/>
                <w:sz w:val="24"/>
                <w:szCs w:val="24"/>
              </w:rPr>
              <w:t>11</w:t>
            </w:r>
            <w:r>
              <w:rPr>
                <w:rFonts w:hint="eastAsia" w:ascii="Times New Roman" w:hAnsi="Times New Roman"/>
                <w:kern w:val="0"/>
                <w:sz w:val="24"/>
                <w:szCs w:val="24"/>
              </w:rPr>
              <w:t>日成立于北京市，主要业务为中国境内消费电子信息行业投资、产品市场推广、顾客售后服务等，其在中国境内通过目标公司开展家庭用游戏机及相关软件生产销售业务。</w:t>
            </w:r>
          </w:p>
          <w:p>
            <w:pPr>
              <w:snapToGrid w:val="0"/>
              <w:rPr>
                <w:rFonts w:ascii="Times New Roman" w:hAnsi="Times New Roman"/>
                <w:kern w:val="0"/>
                <w:sz w:val="24"/>
                <w:szCs w:val="24"/>
              </w:rPr>
            </w:pPr>
            <w:r>
              <w:rPr>
                <w:rFonts w:hint="eastAsia" w:ascii="Times New Roman" w:hAnsi="Times New Roman"/>
                <w:kern w:val="0"/>
                <w:sz w:val="24"/>
                <w:szCs w:val="24"/>
              </w:rPr>
              <w:t>索尼中国最终控制人为索尼集团公司（“</w:t>
            </w:r>
            <w:r>
              <w:rPr>
                <w:rFonts w:hint="eastAsia" w:ascii="Times New Roman" w:hAnsi="Times New Roman"/>
                <w:b/>
                <w:bCs/>
                <w:kern w:val="0"/>
                <w:sz w:val="24"/>
                <w:szCs w:val="24"/>
              </w:rPr>
              <w:t>索尼</w:t>
            </w:r>
            <w:r>
              <w:rPr>
                <w:rFonts w:hint="eastAsia" w:ascii="Times New Roman" w:hAnsi="Times New Roman"/>
                <w:kern w:val="0"/>
                <w:sz w:val="24"/>
                <w:szCs w:val="24"/>
              </w:rPr>
              <w:t>”），主要业务为游戏和网络服务、音乐、电影、娱乐、技术及服务等。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809" w:type="dxa"/>
            <w:vMerge w:val="continue"/>
            <w:shd w:val="clear" w:color="auto" w:fill="D9D9D9"/>
            <w:vAlign w:val="center"/>
          </w:tcPr>
          <w:p>
            <w:pPr>
              <w:snapToGrid w:val="0"/>
              <w:jc w:val="center"/>
              <w:rPr>
                <w:rFonts w:ascii="Times New Roman" w:hAnsi="Times New Roman"/>
                <w:b/>
                <w:kern w:val="0"/>
                <w:sz w:val="24"/>
                <w:szCs w:val="24"/>
              </w:rPr>
            </w:pPr>
          </w:p>
        </w:tc>
        <w:tc>
          <w:tcPr>
            <w:tcW w:w="1796" w:type="dxa"/>
          </w:tcPr>
          <w:p>
            <w:pPr>
              <w:snapToGrid w:val="0"/>
              <w:rPr>
                <w:rFonts w:ascii="Times New Roman" w:hAnsi="Times New Roman"/>
                <w:kern w:val="0"/>
                <w:sz w:val="24"/>
                <w:szCs w:val="24"/>
              </w:rPr>
            </w:pPr>
            <w:r>
              <w:rPr>
                <w:rFonts w:hint="eastAsia" w:ascii="Times New Roman" w:hAnsi="Times New Roman"/>
                <w:kern w:val="0"/>
                <w:sz w:val="24"/>
                <w:szCs w:val="24"/>
              </w:rPr>
              <w:t>2. 索尼互娱上海</w:t>
            </w:r>
          </w:p>
        </w:tc>
        <w:tc>
          <w:tcPr>
            <w:tcW w:w="5153" w:type="dxa"/>
          </w:tcPr>
          <w:p>
            <w:pPr>
              <w:snapToGrid w:val="0"/>
              <w:rPr>
                <w:rFonts w:ascii="Times New Roman" w:hAnsi="Times New Roman"/>
                <w:bCs/>
                <w:kern w:val="0"/>
                <w:sz w:val="24"/>
                <w:szCs w:val="24"/>
              </w:rPr>
            </w:pPr>
            <w:r>
              <w:rPr>
                <w:rFonts w:hint="eastAsia" w:ascii="Times New Roman" w:hAnsi="Times New Roman"/>
                <w:kern w:val="0"/>
                <w:sz w:val="24"/>
                <w:szCs w:val="24"/>
              </w:rPr>
              <w:t>索尼互娱上海于</w:t>
            </w:r>
            <w:r>
              <w:rPr>
                <w:rFonts w:ascii="Times New Roman" w:hAnsi="Times New Roman"/>
                <w:kern w:val="0"/>
                <w:sz w:val="24"/>
                <w:szCs w:val="24"/>
              </w:rPr>
              <w:t>2014</w:t>
            </w:r>
            <w:r>
              <w:rPr>
                <w:rFonts w:hint="eastAsia" w:ascii="Times New Roman" w:hAnsi="Times New Roman"/>
                <w:kern w:val="0"/>
                <w:sz w:val="24"/>
                <w:szCs w:val="24"/>
              </w:rPr>
              <w:t>年</w:t>
            </w:r>
            <w:r>
              <w:rPr>
                <w:rFonts w:ascii="Times New Roman" w:hAnsi="Times New Roman"/>
                <w:kern w:val="0"/>
                <w:sz w:val="24"/>
                <w:szCs w:val="24"/>
              </w:rPr>
              <w:t>8</w:t>
            </w:r>
            <w:r>
              <w:rPr>
                <w:rFonts w:hint="eastAsia" w:ascii="Times New Roman" w:hAnsi="Times New Roman"/>
                <w:kern w:val="0"/>
                <w:sz w:val="24"/>
                <w:szCs w:val="24"/>
              </w:rPr>
              <w:t>月</w:t>
            </w:r>
            <w:r>
              <w:rPr>
                <w:rFonts w:ascii="Times New Roman" w:hAnsi="Times New Roman"/>
                <w:kern w:val="0"/>
                <w:sz w:val="24"/>
                <w:szCs w:val="24"/>
              </w:rPr>
              <w:t>4</w:t>
            </w:r>
            <w:r>
              <w:rPr>
                <w:rFonts w:hint="eastAsia" w:ascii="Times New Roman" w:hAnsi="Times New Roman"/>
                <w:kern w:val="0"/>
                <w:sz w:val="24"/>
                <w:szCs w:val="24"/>
              </w:rPr>
              <w:t>日成立于上海市，主要业务为</w:t>
            </w:r>
            <w:r>
              <w:rPr>
                <w:rFonts w:hint="eastAsia" w:ascii="Times New Roman" w:hAnsi="Times New Roman"/>
                <w:bCs/>
                <w:kern w:val="0"/>
                <w:sz w:val="24"/>
                <w:szCs w:val="24"/>
              </w:rPr>
              <w:t>家庭用游戏机相关业务。</w:t>
            </w:r>
          </w:p>
          <w:p>
            <w:pPr>
              <w:snapToGrid w:val="0"/>
              <w:rPr>
                <w:rFonts w:ascii="Times New Roman" w:hAnsi="Times New Roman"/>
                <w:kern w:val="0"/>
                <w:sz w:val="24"/>
                <w:szCs w:val="24"/>
              </w:rPr>
            </w:pPr>
            <w:r>
              <w:rPr>
                <w:rFonts w:hint="eastAsia" w:ascii="Times New Roman" w:hAnsi="Times New Roman"/>
                <w:kern w:val="0"/>
                <w:sz w:val="24"/>
                <w:szCs w:val="24"/>
              </w:rPr>
              <w:t>索尼互娱上海最终控制人为索尼及上海文化广播影视集团有限公司（“</w:t>
            </w:r>
            <w:r>
              <w:rPr>
                <w:rFonts w:hint="eastAsia" w:ascii="Times New Roman" w:hAnsi="Times New Roman"/>
                <w:b/>
                <w:bCs/>
                <w:kern w:val="0"/>
                <w:sz w:val="24"/>
                <w:szCs w:val="24"/>
              </w:rPr>
              <w:t>上海文广</w:t>
            </w:r>
            <w:r>
              <w:rPr>
                <w:rFonts w:hint="eastAsia" w:ascii="Times New Roman" w:hAnsi="Times New Roman"/>
                <w:kern w:val="0"/>
                <w:sz w:val="24"/>
                <w:szCs w:val="24"/>
              </w:rPr>
              <w:t>”）。索尼的主要业务如上所述；上海文广的主要业务为媒体运营及内容创制、技术服务及版权经营、文化演艺及场馆运营、文旅投资及智慧广电等。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809" w:type="dxa"/>
            <w:vMerge w:val="continue"/>
            <w:shd w:val="clear" w:color="auto" w:fill="D9D9D9"/>
            <w:vAlign w:val="center"/>
          </w:tcPr>
          <w:p>
            <w:pPr>
              <w:snapToGrid w:val="0"/>
              <w:jc w:val="center"/>
              <w:rPr>
                <w:rFonts w:ascii="Times New Roman" w:hAnsi="Times New Roman"/>
                <w:b/>
                <w:kern w:val="0"/>
                <w:sz w:val="24"/>
                <w:szCs w:val="24"/>
              </w:rPr>
            </w:pPr>
          </w:p>
        </w:tc>
        <w:tc>
          <w:tcPr>
            <w:tcW w:w="1796" w:type="dxa"/>
          </w:tcPr>
          <w:p>
            <w:pPr>
              <w:snapToGrid w:val="0"/>
              <w:rPr>
                <w:rFonts w:ascii="Times New Roman" w:hAnsi="Times New Roman"/>
                <w:kern w:val="0"/>
                <w:sz w:val="24"/>
                <w:szCs w:val="24"/>
              </w:rPr>
            </w:pPr>
            <w:r>
              <w:rPr>
                <w:rFonts w:hint="eastAsia" w:ascii="Times New Roman" w:hAnsi="Times New Roman"/>
                <w:kern w:val="0"/>
                <w:sz w:val="24"/>
                <w:szCs w:val="24"/>
              </w:rPr>
              <w:t>3. 上海东方明珠索乐</w:t>
            </w:r>
          </w:p>
        </w:tc>
        <w:tc>
          <w:tcPr>
            <w:tcW w:w="5153" w:type="dxa"/>
          </w:tcPr>
          <w:p>
            <w:pPr>
              <w:snapToGrid w:val="0"/>
              <w:rPr>
                <w:rFonts w:ascii="Times New Roman" w:hAnsi="Times New Roman"/>
                <w:bCs/>
                <w:kern w:val="0"/>
                <w:sz w:val="24"/>
                <w:szCs w:val="24"/>
              </w:rPr>
            </w:pPr>
            <w:r>
              <w:rPr>
                <w:rFonts w:hint="eastAsia" w:ascii="Times New Roman" w:hAnsi="Times New Roman"/>
                <w:kern w:val="0"/>
                <w:sz w:val="24"/>
                <w:szCs w:val="24"/>
              </w:rPr>
              <w:t>上海东方明珠索乐于</w:t>
            </w:r>
            <w:r>
              <w:rPr>
                <w:rFonts w:ascii="Times New Roman" w:hAnsi="Times New Roman"/>
                <w:kern w:val="0"/>
                <w:sz w:val="24"/>
                <w:szCs w:val="24"/>
              </w:rPr>
              <w:t>2014</w:t>
            </w:r>
            <w:r>
              <w:rPr>
                <w:rFonts w:hint="eastAsia" w:ascii="Times New Roman" w:hAnsi="Times New Roman"/>
                <w:kern w:val="0"/>
                <w:sz w:val="24"/>
                <w:szCs w:val="24"/>
              </w:rPr>
              <w:t>年</w:t>
            </w:r>
            <w:r>
              <w:rPr>
                <w:rFonts w:ascii="Times New Roman" w:hAnsi="Times New Roman"/>
                <w:kern w:val="0"/>
                <w:sz w:val="24"/>
                <w:szCs w:val="24"/>
              </w:rPr>
              <w:t>7</w:t>
            </w:r>
            <w:r>
              <w:rPr>
                <w:rFonts w:hint="eastAsia" w:ascii="Times New Roman" w:hAnsi="Times New Roman"/>
                <w:kern w:val="0"/>
                <w:sz w:val="24"/>
                <w:szCs w:val="24"/>
              </w:rPr>
              <w:t>月</w:t>
            </w:r>
            <w:r>
              <w:rPr>
                <w:rFonts w:ascii="Times New Roman" w:hAnsi="Times New Roman"/>
                <w:kern w:val="0"/>
                <w:sz w:val="24"/>
                <w:szCs w:val="24"/>
              </w:rPr>
              <w:t>29</w:t>
            </w:r>
            <w:r>
              <w:rPr>
                <w:rFonts w:hint="eastAsia" w:ascii="Times New Roman" w:hAnsi="Times New Roman"/>
                <w:kern w:val="0"/>
                <w:sz w:val="24"/>
                <w:szCs w:val="24"/>
              </w:rPr>
              <w:t>日成立于上海市，主要业务为</w:t>
            </w:r>
            <w:r>
              <w:rPr>
                <w:rFonts w:hint="eastAsia" w:ascii="Times New Roman" w:hAnsi="Times New Roman"/>
                <w:bCs/>
                <w:kern w:val="0"/>
                <w:sz w:val="24"/>
                <w:szCs w:val="24"/>
              </w:rPr>
              <w:t>家庭用游戏机相关业务。</w:t>
            </w:r>
          </w:p>
          <w:p>
            <w:pPr>
              <w:snapToGrid w:val="0"/>
              <w:rPr>
                <w:rFonts w:ascii="Times New Roman" w:hAnsi="Times New Roman"/>
                <w:kern w:val="0"/>
                <w:sz w:val="24"/>
                <w:szCs w:val="24"/>
              </w:rPr>
            </w:pPr>
            <w:r>
              <w:rPr>
                <w:rFonts w:hint="eastAsia" w:ascii="Times New Roman" w:hAnsi="Times New Roman"/>
                <w:kern w:val="0"/>
                <w:sz w:val="24"/>
                <w:szCs w:val="24"/>
              </w:rPr>
              <w:t>索尼互娱上海最终控制人为索尼及上海文广。索尼及上海文广的主要业务如上所述。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809" w:type="dxa"/>
            <w:vMerge w:val="restart"/>
            <w:shd w:val="clear" w:color="auto" w:fill="D9D9D9"/>
            <w:vAlign w:val="center"/>
          </w:tcPr>
          <w:p>
            <w:pPr>
              <w:snapToGrid w:val="0"/>
              <w:jc w:val="center"/>
              <w:rPr>
                <w:rFonts w:ascii="Times New Roman" w:hAnsi="Times New Roman"/>
                <w:b/>
                <w:kern w:val="0"/>
                <w:sz w:val="24"/>
                <w:szCs w:val="24"/>
              </w:rPr>
            </w:pPr>
            <w:r>
              <w:rPr>
                <w:rFonts w:hint="eastAsia" w:ascii="Times New Roman" w:hAnsi="Times New Roman"/>
                <w:b/>
                <w:kern w:val="0"/>
                <w:sz w:val="24"/>
                <w:szCs w:val="24"/>
              </w:rPr>
              <w:t>简易案件理由（可以单选，也可以多选）</w:t>
            </w:r>
          </w:p>
          <w:p>
            <w:pPr>
              <w:snapToGrid w:val="0"/>
              <w:jc w:val="center"/>
              <w:rPr>
                <w:rFonts w:ascii="Times New Roman" w:hAnsi="Times New Roman"/>
                <w:b/>
                <w:kern w:val="0"/>
                <w:sz w:val="24"/>
                <w:szCs w:val="24"/>
              </w:rPr>
            </w:pPr>
          </w:p>
        </w:tc>
        <w:tc>
          <w:tcPr>
            <w:tcW w:w="6949" w:type="dxa"/>
            <w:gridSpan w:val="2"/>
            <w:vAlign w:val="center"/>
          </w:tcPr>
          <w:p>
            <w:pPr>
              <w:snapToGrid w:val="0"/>
              <w:rPr>
                <w:rFonts w:ascii="Times New Roman" w:hAnsi="Times New Roman"/>
                <w:kern w:val="0"/>
                <w:sz w:val="24"/>
                <w:szCs w:val="24"/>
              </w:rPr>
            </w:pPr>
            <w:r>
              <w:rPr>
                <w:rFonts w:hint="eastAsia" w:ascii="Times New Roman" w:hAnsi="Times New Roman"/>
                <w:kern w:val="0"/>
                <w:sz w:val="24"/>
                <w:szCs w:val="24"/>
              </w:rPr>
              <w:t>□</w:t>
            </w:r>
            <w:r>
              <w:rPr>
                <w:rFonts w:ascii="Times New Roman" w:hAnsi="Times New Roman"/>
                <w:kern w:val="0"/>
                <w:sz w:val="24"/>
                <w:szCs w:val="24"/>
              </w:rPr>
              <w:t>1.</w:t>
            </w:r>
            <w:r>
              <w:rPr>
                <w:rFonts w:hint="eastAsia" w:ascii="Times New Roman" w:hAnsi="Times New Roman"/>
                <w:kern w:val="0"/>
                <w:sz w:val="24"/>
                <w:szCs w:val="24"/>
              </w:rPr>
              <w:t>在同一相关市场，所有参与集中的经营者所占市场份额之和小于</w:t>
            </w:r>
            <w:r>
              <w:rPr>
                <w:rFonts w:ascii="Times New Roman" w:hAnsi="Times New Roman"/>
                <w:kern w:val="0"/>
                <w:sz w:val="24"/>
                <w:szCs w:val="24"/>
              </w:rPr>
              <w:t>15%</w:t>
            </w:r>
            <w:r>
              <w:rPr>
                <w:rFonts w:hint="eastAsia" w:ascii="Times New Roman" w:hAnsi="Times New Roman"/>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809" w:type="dxa"/>
            <w:vMerge w:val="continue"/>
            <w:shd w:val="clear" w:color="auto" w:fill="D9D9D9"/>
            <w:vAlign w:val="center"/>
          </w:tcPr>
          <w:p>
            <w:pPr>
              <w:snapToGrid w:val="0"/>
              <w:jc w:val="center"/>
              <w:rPr>
                <w:rFonts w:ascii="Times New Roman" w:hAnsi="Times New Roman"/>
                <w:b/>
                <w:kern w:val="0"/>
                <w:sz w:val="24"/>
                <w:szCs w:val="24"/>
              </w:rPr>
            </w:pPr>
          </w:p>
        </w:tc>
        <w:tc>
          <w:tcPr>
            <w:tcW w:w="6949" w:type="dxa"/>
            <w:gridSpan w:val="2"/>
            <w:vAlign w:val="center"/>
          </w:tcPr>
          <w:p>
            <w:pPr>
              <w:snapToGrid w:val="0"/>
              <w:rPr>
                <w:rFonts w:ascii="Times New Roman" w:hAnsi="Times New Roman"/>
                <w:kern w:val="0"/>
                <w:sz w:val="24"/>
                <w:szCs w:val="24"/>
              </w:rPr>
            </w:pPr>
            <w:r>
              <w:rPr>
                <w:rFonts w:hint="eastAsia" w:ascii="Times New Roman" w:hAnsi="Times New Roman"/>
                <w:kern w:val="0"/>
                <w:sz w:val="24"/>
                <w:szCs w:val="24"/>
              </w:rPr>
              <w:t>□</w:t>
            </w:r>
            <w:r>
              <w:rPr>
                <w:rFonts w:ascii="Times New Roman" w:hAnsi="Times New Roman"/>
                <w:kern w:val="0"/>
                <w:sz w:val="24"/>
                <w:szCs w:val="24"/>
              </w:rPr>
              <w:t>2.</w:t>
            </w:r>
            <w:r>
              <w:rPr>
                <w:rFonts w:hint="eastAsia" w:ascii="Times New Roman" w:hAnsi="Times New Roman"/>
                <w:kern w:val="0"/>
                <w:sz w:val="24"/>
                <w:szCs w:val="24"/>
              </w:rPr>
              <w:t>存在上下游关系的参与集中的经营者，在上下游市场所占的市场份额均小于</w:t>
            </w:r>
            <w:r>
              <w:rPr>
                <w:rFonts w:ascii="Times New Roman" w:hAnsi="Times New Roman"/>
                <w:kern w:val="0"/>
                <w:sz w:val="24"/>
                <w:szCs w:val="24"/>
              </w:rPr>
              <w:t>25%</w:t>
            </w:r>
            <w:r>
              <w:rPr>
                <w:rFonts w:hint="eastAsia" w:ascii="Times New Roman" w:hAnsi="Times New Roman"/>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09" w:type="dxa"/>
            <w:vMerge w:val="continue"/>
            <w:shd w:val="clear" w:color="auto" w:fill="D9D9D9"/>
            <w:vAlign w:val="center"/>
          </w:tcPr>
          <w:p>
            <w:pPr>
              <w:snapToGrid w:val="0"/>
              <w:jc w:val="center"/>
              <w:rPr>
                <w:rFonts w:ascii="Times New Roman" w:hAnsi="Times New Roman"/>
                <w:b/>
                <w:kern w:val="0"/>
                <w:sz w:val="24"/>
                <w:szCs w:val="24"/>
              </w:rPr>
            </w:pPr>
          </w:p>
        </w:tc>
        <w:tc>
          <w:tcPr>
            <w:tcW w:w="6949" w:type="dxa"/>
            <w:gridSpan w:val="2"/>
            <w:vAlign w:val="center"/>
          </w:tcPr>
          <w:p>
            <w:pPr>
              <w:snapToGrid w:val="0"/>
              <w:rPr>
                <w:rFonts w:ascii="Times New Roman" w:hAnsi="Times New Roman"/>
                <w:kern w:val="0"/>
                <w:sz w:val="24"/>
                <w:szCs w:val="24"/>
              </w:rPr>
            </w:pPr>
            <w:r>
              <w:rPr>
                <w:rFonts w:hint="eastAsia" w:ascii="Times New Roman" w:hAnsi="Times New Roman"/>
                <w:kern w:val="0"/>
                <w:sz w:val="24"/>
                <w:szCs w:val="24"/>
              </w:rPr>
              <w:t>□</w:t>
            </w:r>
            <w:r>
              <w:rPr>
                <w:rFonts w:ascii="Times New Roman" w:hAnsi="Times New Roman"/>
                <w:kern w:val="0"/>
                <w:sz w:val="24"/>
                <w:szCs w:val="24"/>
              </w:rPr>
              <w:t>3.</w:t>
            </w:r>
            <w:r>
              <w:rPr>
                <w:rFonts w:hint="eastAsia" w:ascii="Times New Roman" w:hAnsi="Times New Roman"/>
                <w:kern w:val="0"/>
                <w:sz w:val="24"/>
                <w:szCs w:val="24"/>
              </w:rPr>
              <w:t>不在同一相关市场、也不存在上下游关系的参与集中的经营者，在与交易有关的每个市场所占的份额均小于</w:t>
            </w:r>
            <w:r>
              <w:rPr>
                <w:rFonts w:ascii="Times New Roman" w:hAnsi="Times New Roman"/>
                <w:kern w:val="0"/>
                <w:sz w:val="24"/>
                <w:szCs w:val="24"/>
              </w:rPr>
              <w:t>25%</w:t>
            </w:r>
            <w:r>
              <w:rPr>
                <w:rFonts w:hint="eastAsia" w:ascii="Times New Roman" w:hAnsi="Times New Roman"/>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809" w:type="dxa"/>
            <w:vMerge w:val="continue"/>
            <w:shd w:val="clear" w:color="auto" w:fill="D9D9D9"/>
            <w:vAlign w:val="center"/>
          </w:tcPr>
          <w:p>
            <w:pPr>
              <w:snapToGrid w:val="0"/>
              <w:jc w:val="center"/>
              <w:rPr>
                <w:rFonts w:ascii="Times New Roman" w:hAnsi="Times New Roman"/>
                <w:b/>
                <w:kern w:val="0"/>
                <w:sz w:val="24"/>
                <w:szCs w:val="24"/>
              </w:rPr>
            </w:pPr>
          </w:p>
        </w:tc>
        <w:tc>
          <w:tcPr>
            <w:tcW w:w="6949" w:type="dxa"/>
            <w:gridSpan w:val="2"/>
            <w:vAlign w:val="center"/>
          </w:tcPr>
          <w:p>
            <w:pPr>
              <w:snapToGrid w:val="0"/>
              <w:rPr>
                <w:rFonts w:ascii="Times New Roman" w:hAnsi="Times New Roman"/>
                <w:kern w:val="0"/>
                <w:sz w:val="24"/>
                <w:szCs w:val="24"/>
              </w:rPr>
            </w:pPr>
            <w:r>
              <w:rPr>
                <w:rFonts w:hint="eastAsia" w:ascii="Times New Roman" w:hAnsi="Times New Roman"/>
                <w:kern w:val="0"/>
                <w:sz w:val="24"/>
                <w:szCs w:val="24"/>
              </w:rPr>
              <w:t>□</w:t>
            </w:r>
            <w:r>
              <w:rPr>
                <w:rFonts w:ascii="Times New Roman" w:hAnsi="Times New Roman"/>
                <w:kern w:val="0"/>
                <w:sz w:val="24"/>
                <w:szCs w:val="24"/>
              </w:rPr>
              <w:t>4.</w:t>
            </w:r>
            <w:r>
              <w:rPr>
                <w:rFonts w:hint="eastAsia" w:ascii="Times New Roman" w:hAnsi="Times New Roman"/>
                <w:kern w:val="0"/>
                <w:sz w:val="24"/>
                <w:szCs w:val="24"/>
              </w:rPr>
              <w:t>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809" w:type="dxa"/>
            <w:vMerge w:val="continue"/>
            <w:shd w:val="clear" w:color="auto" w:fill="D9D9D9"/>
            <w:vAlign w:val="center"/>
          </w:tcPr>
          <w:p>
            <w:pPr>
              <w:snapToGrid w:val="0"/>
              <w:jc w:val="center"/>
              <w:rPr>
                <w:rFonts w:ascii="Times New Roman" w:hAnsi="Times New Roman"/>
                <w:b/>
                <w:kern w:val="0"/>
                <w:sz w:val="24"/>
                <w:szCs w:val="24"/>
              </w:rPr>
            </w:pPr>
          </w:p>
        </w:tc>
        <w:tc>
          <w:tcPr>
            <w:tcW w:w="6949" w:type="dxa"/>
            <w:gridSpan w:val="2"/>
            <w:vAlign w:val="center"/>
          </w:tcPr>
          <w:p>
            <w:pPr>
              <w:snapToGrid w:val="0"/>
              <w:rPr>
                <w:rFonts w:ascii="Times New Roman" w:hAnsi="Times New Roman"/>
                <w:kern w:val="0"/>
                <w:sz w:val="24"/>
                <w:szCs w:val="24"/>
              </w:rPr>
            </w:pPr>
            <w:r>
              <w:rPr>
                <w:rFonts w:hint="eastAsia" w:ascii="Times New Roman" w:hAnsi="Times New Roman"/>
                <w:kern w:val="0"/>
                <w:sz w:val="24"/>
                <w:szCs w:val="24"/>
              </w:rPr>
              <w:t>□</w:t>
            </w:r>
            <w:r>
              <w:rPr>
                <w:rFonts w:ascii="Times New Roman" w:hAnsi="Times New Roman"/>
                <w:kern w:val="0"/>
                <w:sz w:val="24"/>
                <w:szCs w:val="24"/>
              </w:rPr>
              <w:t>5.</w:t>
            </w:r>
            <w:r>
              <w:rPr>
                <w:rFonts w:hint="eastAsia" w:ascii="Times New Roman" w:hAnsi="Times New Roman"/>
                <w:kern w:val="0"/>
                <w:sz w:val="24"/>
                <w:szCs w:val="24"/>
              </w:rPr>
              <w:t>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809" w:type="dxa"/>
            <w:vMerge w:val="continue"/>
            <w:shd w:val="clear" w:color="auto" w:fill="D9D9D9"/>
            <w:vAlign w:val="center"/>
          </w:tcPr>
          <w:p>
            <w:pPr>
              <w:snapToGrid w:val="0"/>
              <w:jc w:val="center"/>
              <w:rPr>
                <w:rFonts w:ascii="Times New Roman" w:hAnsi="Times New Roman"/>
                <w:b/>
                <w:kern w:val="0"/>
                <w:sz w:val="24"/>
                <w:szCs w:val="24"/>
              </w:rPr>
            </w:pPr>
          </w:p>
        </w:tc>
        <w:tc>
          <w:tcPr>
            <w:tcW w:w="6949" w:type="dxa"/>
            <w:gridSpan w:val="2"/>
            <w:vAlign w:val="center"/>
          </w:tcPr>
          <w:p>
            <w:pPr>
              <w:snapToGrid w:val="0"/>
              <w:rPr>
                <w:rFonts w:ascii="Times New Roman" w:hAnsi="Times New Roman"/>
                <w:kern w:val="0"/>
                <w:sz w:val="24"/>
                <w:szCs w:val="24"/>
              </w:rPr>
            </w:pPr>
            <w:r>
              <w:rPr>
                <w:rFonts w:ascii="Times New Roman" w:hAnsi="Times New Roman"/>
                <w:kern w:val="0"/>
                <w:sz w:val="24"/>
                <w:szCs w:val="24"/>
              </w:rPr>
              <w:sym w:font="Wingdings" w:char="F0FE"/>
            </w:r>
            <w:r>
              <w:rPr>
                <w:rFonts w:ascii="Times New Roman" w:hAnsi="Times New Roman"/>
                <w:kern w:val="0"/>
                <w:sz w:val="24"/>
                <w:szCs w:val="24"/>
              </w:rPr>
              <w:t>6.</w:t>
            </w:r>
            <w:r>
              <w:rPr>
                <w:rFonts w:hint="eastAsia" w:ascii="Times New Roman" w:hAnsi="Times New Roman"/>
                <w:kern w:val="0"/>
                <w:sz w:val="24"/>
                <w:szCs w:val="24"/>
              </w:rPr>
              <w:t>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809" w:type="dxa"/>
            <w:shd w:val="clear" w:color="auto" w:fill="D9D9D9"/>
            <w:vAlign w:val="center"/>
          </w:tcPr>
          <w:p>
            <w:pPr>
              <w:snapToGrid w:val="0"/>
              <w:jc w:val="center"/>
              <w:rPr>
                <w:rFonts w:ascii="Times New Roman" w:hAnsi="Times New Roman"/>
                <w:b/>
                <w:kern w:val="0"/>
                <w:sz w:val="24"/>
                <w:szCs w:val="24"/>
              </w:rPr>
            </w:pPr>
            <w:r>
              <w:rPr>
                <w:rFonts w:hint="eastAsia" w:ascii="Times New Roman" w:hAnsi="Times New Roman"/>
                <w:b/>
                <w:kern w:val="0"/>
                <w:sz w:val="24"/>
                <w:szCs w:val="24"/>
              </w:rPr>
              <w:t>备注</w:t>
            </w:r>
          </w:p>
        </w:tc>
        <w:tc>
          <w:tcPr>
            <w:tcW w:w="6949" w:type="dxa"/>
            <w:gridSpan w:val="2"/>
            <w:vAlign w:val="center"/>
          </w:tcPr>
          <w:p>
            <w:pPr>
              <w:snapToGrid w:val="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混合集中</w:t>
            </w:r>
          </w:p>
          <w:p>
            <w:pPr>
              <w:snapToGrid w:val="0"/>
              <w:rPr>
                <w:rFonts w:hint="default" w:ascii="Times New Roman" w:hAnsi="Times New Roman" w:cs="Times New Roman"/>
                <w:sz w:val="24"/>
                <w:szCs w:val="24"/>
                <w:lang w:eastAsia="zh-CN"/>
              </w:rPr>
            </w:pPr>
            <w:r>
              <w:rPr>
                <w:rFonts w:hint="default" w:ascii="Times New Roman" w:hAnsi="Times New Roman" w:cs="Times New Roman"/>
                <w:sz w:val="24"/>
                <w:szCs w:val="24"/>
                <w:lang w:val="en-US" w:eastAsia="zh-CN"/>
              </w:rPr>
              <w:t>2023年中国境内</w:t>
            </w:r>
            <w:r>
              <w:rPr>
                <w:rFonts w:hint="default" w:ascii="Times New Roman" w:hAnsi="Times New Roman" w:cs="Times New Roman"/>
                <w:sz w:val="24"/>
                <w:szCs w:val="24"/>
              </w:rPr>
              <w:t>家庭用游戏机</w:t>
            </w:r>
            <w:bookmarkStart w:id="0" w:name="_GoBack"/>
            <w:bookmarkEnd w:id="0"/>
            <w:r>
              <w:rPr>
                <w:rFonts w:hint="default" w:ascii="Times New Roman" w:hAnsi="Times New Roman" w:cs="Times New Roman"/>
                <w:sz w:val="24"/>
                <w:szCs w:val="24"/>
                <w:lang w:eastAsia="zh-CN"/>
              </w:rPr>
              <w:t>市场：</w:t>
            </w:r>
          </w:p>
          <w:p>
            <w:pPr>
              <w:snapToGrid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eastAsia="zh-CN"/>
              </w:rPr>
              <w:t>目标公司：</w:t>
            </w:r>
            <w:r>
              <w:rPr>
                <w:rFonts w:hint="default" w:ascii="Times New Roman" w:hAnsi="Times New Roman" w:cs="Times New Roman"/>
                <w:sz w:val="24"/>
                <w:szCs w:val="24"/>
                <w:lang w:val="en-US" w:eastAsia="zh-CN"/>
              </w:rPr>
              <w:t>30-35%</w:t>
            </w:r>
          </w:p>
          <w:p>
            <w:pPr>
              <w:snapToGrid w:val="0"/>
              <w:rPr>
                <w:rFonts w:hint="default" w:ascii="Times New Roman" w:hAnsi="Times New Roman" w:cs="Times New Roman"/>
                <w:sz w:val="24"/>
                <w:szCs w:val="24"/>
                <w:lang w:eastAsia="zh-CN"/>
              </w:rPr>
            </w:pPr>
            <w:r>
              <w:rPr>
                <w:rFonts w:hint="default" w:ascii="Times New Roman" w:hAnsi="Times New Roman" w:cs="Times New Roman"/>
                <w:sz w:val="24"/>
                <w:szCs w:val="24"/>
                <w:lang w:val="en-US" w:eastAsia="zh-CN"/>
              </w:rPr>
              <w:t>2023年中国境内</w:t>
            </w:r>
            <w:r>
              <w:rPr>
                <w:rFonts w:hint="default" w:ascii="Times New Roman" w:hAnsi="Times New Roman" w:cs="Times New Roman"/>
                <w:sz w:val="24"/>
                <w:szCs w:val="24"/>
              </w:rPr>
              <w:t>家庭用游戏机</w:t>
            </w:r>
            <w:r>
              <w:rPr>
                <w:rFonts w:hint="default" w:ascii="Times New Roman" w:hAnsi="Times New Roman" w:cs="Times New Roman"/>
                <w:sz w:val="24"/>
                <w:szCs w:val="24"/>
                <w:lang w:eastAsia="zh-CN"/>
              </w:rPr>
              <w:t>软件市场：</w:t>
            </w:r>
          </w:p>
          <w:p>
            <w:pPr>
              <w:snapToGrid w:val="0"/>
              <w:rPr>
                <w:rFonts w:hint="default"/>
                <w:lang w:val="en-US" w:eastAsia="zh-CN"/>
              </w:rPr>
            </w:pPr>
            <w:r>
              <w:rPr>
                <w:rFonts w:hint="default" w:ascii="Times New Roman" w:hAnsi="Times New Roman" w:cs="Times New Roman"/>
                <w:sz w:val="24"/>
                <w:szCs w:val="24"/>
                <w:lang w:eastAsia="zh-CN"/>
              </w:rPr>
              <w:t>目标公司：</w:t>
            </w:r>
            <w:r>
              <w:rPr>
                <w:rFonts w:hint="default" w:ascii="Times New Roman" w:hAnsi="Times New Roman" w:cs="Times New Roman"/>
                <w:sz w:val="24"/>
                <w:szCs w:val="24"/>
                <w:lang w:val="en-US" w:eastAsia="zh-CN"/>
              </w:rPr>
              <w:t>10-15%</w:t>
            </w:r>
          </w:p>
        </w:tc>
      </w:tr>
    </w:tbl>
    <w:p>
      <w:pPr>
        <w:rPr>
          <w:rFonts w:ascii="Times New Roman" w:hAnsi="Times New Roman" w:eastAsia="仿宋_GB2312"/>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Simplified Arabic">
    <w:altName w:val="Times New Roman"/>
    <w:panose1 w:val="00000000000000000000"/>
    <w:charset w:val="B2"/>
    <w:family w:val="roman"/>
    <w:pitch w:val="default"/>
    <w:sig w:usb0="00000000" w:usb1="00000000" w:usb2="00000008" w:usb3="00000000" w:csb0="0000004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4765672"/>
      <w:docPartObj>
        <w:docPartGallery w:val="autotext"/>
      </w:docPartObj>
    </w:sdtPr>
    <w:sdtEndPr>
      <w:rPr>
        <w:rFonts w:ascii="Times New Roman" w:hAnsi="Times New Roman"/>
      </w:rPr>
    </w:sdtEndPr>
    <w:sdtContent>
      <w:p>
        <w:pPr>
          <w:pStyle w:val="5"/>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1</w:t>
        </w:r>
        <w:r>
          <w:rPr>
            <w:rFonts w:ascii="Times New Roman" w:hAnsi="Times New Roma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zQ0NTY2MrY0MDM3N7RU0lEKTi0uzszPAykwrAUAOXePsywAAAA="/>
  </w:docVars>
  <w:rsids>
    <w:rsidRoot w:val="00CB00DF"/>
    <w:rsid w:val="00033895"/>
    <w:rsid w:val="00036CAE"/>
    <w:rsid w:val="00037065"/>
    <w:rsid w:val="000402C5"/>
    <w:rsid w:val="000403E7"/>
    <w:rsid w:val="000466E0"/>
    <w:rsid w:val="000573A0"/>
    <w:rsid w:val="00066D65"/>
    <w:rsid w:val="00071BFC"/>
    <w:rsid w:val="000731E0"/>
    <w:rsid w:val="00075107"/>
    <w:rsid w:val="00075415"/>
    <w:rsid w:val="00076F3F"/>
    <w:rsid w:val="00090E61"/>
    <w:rsid w:val="00091EAA"/>
    <w:rsid w:val="00092322"/>
    <w:rsid w:val="0009269A"/>
    <w:rsid w:val="00093129"/>
    <w:rsid w:val="00095339"/>
    <w:rsid w:val="000A4AFE"/>
    <w:rsid w:val="000C375C"/>
    <w:rsid w:val="000C6931"/>
    <w:rsid w:val="000C6C2B"/>
    <w:rsid w:val="000D35F3"/>
    <w:rsid w:val="000D7086"/>
    <w:rsid w:val="000D7EBA"/>
    <w:rsid w:val="000E5392"/>
    <w:rsid w:val="000F322A"/>
    <w:rsid w:val="000F3F38"/>
    <w:rsid w:val="00100A6A"/>
    <w:rsid w:val="0010373F"/>
    <w:rsid w:val="001057CA"/>
    <w:rsid w:val="00106130"/>
    <w:rsid w:val="00106F60"/>
    <w:rsid w:val="001164CD"/>
    <w:rsid w:val="00116C71"/>
    <w:rsid w:val="00122063"/>
    <w:rsid w:val="0013327A"/>
    <w:rsid w:val="001369F7"/>
    <w:rsid w:val="001378E9"/>
    <w:rsid w:val="001432DA"/>
    <w:rsid w:val="00143EBB"/>
    <w:rsid w:val="00146747"/>
    <w:rsid w:val="00147A27"/>
    <w:rsid w:val="00155717"/>
    <w:rsid w:val="001574E4"/>
    <w:rsid w:val="001629F1"/>
    <w:rsid w:val="00167B0D"/>
    <w:rsid w:val="00176620"/>
    <w:rsid w:val="001837A3"/>
    <w:rsid w:val="00197A2E"/>
    <w:rsid w:val="001A2243"/>
    <w:rsid w:val="001A3B16"/>
    <w:rsid w:val="001B083F"/>
    <w:rsid w:val="001B3497"/>
    <w:rsid w:val="001B5FAB"/>
    <w:rsid w:val="001D3A8B"/>
    <w:rsid w:val="001E032B"/>
    <w:rsid w:val="001E3778"/>
    <w:rsid w:val="001F485A"/>
    <w:rsid w:val="002103C6"/>
    <w:rsid w:val="00213584"/>
    <w:rsid w:val="00213BCA"/>
    <w:rsid w:val="0021516F"/>
    <w:rsid w:val="002360E4"/>
    <w:rsid w:val="00242C6D"/>
    <w:rsid w:val="00244086"/>
    <w:rsid w:val="00245C4A"/>
    <w:rsid w:val="00256AD5"/>
    <w:rsid w:val="002653C3"/>
    <w:rsid w:val="0026613A"/>
    <w:rsid w:val="00272B91"/>
    <w:rsid w:val="00280C9D"/>
    <w:rsid w:val="00284AB6"/>
    <w:rsid w:val="00291B72"/>
    <w:rsid w:val="00296284"/>
    <w:rsid w:val="002B0204"/>
    <w:rsid w:val="002B0401"/>
    <w:rsid w:val="002B1946"/>
    <w:rsid w:val="002C0912"/>
    <w:rsid w:val="002C1B06"/>
    <w:rsid w:val="002C68F9"/>
    <w:rsid w:val="002D3682"/>
    <w:rsid w:val="002D6381"/>
    <w:rsid w:val="002E6287"/>
    <w:rsid w:val="002E7063"/>
    <w:rsid w:val="002F1CEA"/>
    <w:rsid w:val="002F5FB6"/>
    <w:rsid w:val="00300479"/>
    <w:rsid w:val="00301CA5"/>
    <w:rsid w:val="00304FC9"/>
    <w:rsid w:val="003057C5"/>
    <w:rsid w:val="003166E5"/>
    <w:rsid w:val="00333559"/>
    <w:rsid w:val="00334943"/>
    <w:rsid w:val="003437DF"/>
    <w:rsid w:val="0034397F"/>
    <w:rsid w:val="00347293"/>
    <w:rsid w:val="00347647"/>
    <w:rsid w:val="00356A86"/>
    <w:rsid w:val="00356ED8"/>
    <w:rsid w:val="003578D8"/>
    <w:rsid w:val="0036010C"/>
    <w:rsid w:val="003602C9"/>
    <w:rsid w:val="00360FEE"/>
    <w:rsid w:val="003802E6"/>
    <w:rsid w:val="003822EA"/>
    <w:rsid w:val="003842C8"/>
    <w:rsid w:val="00385038"/>
    <w:rsid w:val="0039664F"/>
    <w:rsid w:val="00397794"/>
    <w:rsid w:val="003A43ED"/>
    <w:rsid w:val="003A6439"/>
    <w:rsid w:val="003B7536"/>
    <w:rsid w:val="003C0AEB"/>
    <w:rsid w:val="003D0FFE"/>
    <w:rsid w:val="003D1482"/>
    <w:rsid w:val="003E03E0"/>
    <w:rsid w:val="003E258D"/>
    <w:rsid w:val="003E625A"/>
    <w:rsid w:val="003F00E8"/>
    <w:rsid w:val="003F5589"/>
    <w:rsid w:val="003F6AF9"/>
    <w:rsid w:val="00401449"/>
    <w:rsid w:val="004030E3"/>
    <w:rsid w:val="00406639"/>
    <w:rsid w:val="0040692E"/>
    <w:rsid w:val="00412831"/>
    <w:rsid w:val="004134FC"/>
    <w:rsid w:val="004341AC"/>
    <w:rsid w:val="00444F82"/>
    <w:rsid w:val="00445B23"/>
    <w:rsid w:val="00470BB7"/>
    <w:rsid w:val="00471606"/>
    <w:rsid w:val="00473FFB"/>
    <w:rsid w:val="004A2E71"/>
    <w:rsid w:val="004B163E"/>
    <w:rsid w:val="004D113C"/>
    <w:rsid w:val="004F431A"/>
    <w:rsid w:val="004F7688"/>
    <w:rsid w:val="00516F69"/>
    <w:rsid w:val="00516F7A"/>
    <w:rsid w:val="00520FB8"/>
    <w:rsid w:val="00521578"/>
    <w:rsid w:val="00533330"/>
    <w:rsid w:val="00536F63"/>
    <w:rsid w:val="00540581"/>
    <w:rsid w:val="00543AB8"/>
    <w:rsid w:val="00543E6D"/>
    <w:rsid w:val="005443EC"/>
    <w:rsid w:val="00544AE7"/>
    <w:rsid w:val="00544B57"/>
    <w:rsid w:val="00554FE3"/>
    <w:rsid w:val="00555E7D"/>
    <w:rsid w:val="00561070"/>
    <w:rsid w:val="00562F54"/>
    <w:rsid w:val="00565E0E"/>
    <w:rsid w:val="00570C12"/>
    <w:rsid w:val="005805C6"/>
    <w:rsid w:val="00590ABB"/>
    <w:rsid w:val="00592EE3"/>
    <w:rsid w:val="005A6113"/>
    <w:rsid w:val="005B72DC"/>
    <w:rsid w:val="005C1EC7"/>
    <w:rsid w:val="005D490B"/>
    <w:rsid w:val="005D5037"/>
    <w:rsid w:val="005D71A2"/>
    <w:rsid w:val="005E5151"/>
    <w:rsid w:val="005E5808"/>
    <w:rsid w:val="00600EC6"/>
    <w:rsid w:val="006024A4"/>
    <w:rsid w:val="0060287F"/>
    <w:rsid w:val="00605106"/>
    <w:rsid w:val="0060614B"/>
    <w:rsid w:val="00606F3B"/>
    <w:rsid w:val="00617CE0"/>
    <w:rsid w:val="006216D1"/>
    <w:rsid w:val="00622B78"/>
    <w:rsid w:val="00623B27"/>
    <w:rsid w:val="00625804"/>
    <w:rsid w:val="00627A0A"/>
    <w:rsid w:val="006467D8"/>
    <w:rsid w:val="00663C0D"/>
    <w:rsid w:val="00664166"/>
    <w:rsid w:val="00666E66"/>
    <w:rsid w:val="006737E4"/>
    <w:rsid w:val="00682905"/>
    <w:rsid w:val="006833DD"/>
    <w:rsid w:val="00686F45"/>
    <w:rsid w:val="00692C2C"/>
    <w:rsid w:val="006946D9"/>
    <w:rsid w:val="00696D3C"/>
    <w:rsid w:val="006A0D33"/>
    <w:rsid w:val="006A531B"/>
    <w:rsid w:val="006A708C"/>
    <w:rsid w:val="006B75D5"/>
    <w:rsid w:val="006C4B87"/>
    <w:rsid w:val="006D0CC6"/>
    <w:rsid w:val="006D2AB9"/>
    <w:rsid w:val="006D3412"/>
    <w:rsid w:val="006D3DBE"/>
    <w:rsid w:val="006D5559"/>
    <w:rsid w:val="006D5BEE"/>
    <w:rsid w:val="006E2CCB"/>
    <w:rsid w:val="006E36E1"/>
    <w:rsid w:val="006F32F2"/>
    <w:rsid w:val="006F54B0"/>
    <w:rsid w:val="006F7114"/>
    <w:rsid w:val="006F7693"/>
    <w:rsid w:val="00707503"/>
    <w:rsid w:val="007100F0"/>
    <w:rsid w:val="00710140"/>
    <w:rsid w:val="00725292"/>
    <w:rsid w:val="00727BF4"/>
    <w:rsid w:val="007327A7"/>
    <w:rsid w:val="00734DD3"/>
    <w:rsid w:val="00736249"/>
    <w:rsid w:val="007377B8"/>
    <w:rsid w:val="00742A25"/>
    <w:rsid w:val="0074493D"/>
    <w:rsid w:val="00745A11"/>
    <w:rsid w:val="00751BCC"/>
    <w:rsid w:val="007612AC"/>
    <w:rsid w:val="00767D21"/>
    <w:rsid w:val="007703E0"/>
    <w:rsid w:val="00773E9E"/>
    <w:rsid w:val="007922FF"/>
    <w:rsid w:val="007A79D2"/>
    <w:rsid w:val="007B03A0"/>
    <w:rsid w:val="007B5BF3"/>
    <w:rsid w:val="007B6176"/>
    <w:rsid w:val="007B6BCF"/>
    <w:rsid w:val="007B7C77"/>
    <w:rsid w:val="007D5094"/>
    <w:rsid w:val="007F019B"/>
    <w:rsid w:val="007F2275"/>
    <w:rsid w:val="007F33A5"/>
    <w:rsid w:val="00800C3E"/>
    <w:rsid w:val="00801DA7"/>
    <w:rsid w:val="0080318B"/>
    <w:rsid w:val="008036BA"/>
    <w:rsid w:val="00805297"/>
    <w:rsid w:val="00805438"/>
    <w:rsid w:val="00816C9C"/>
    <w:rsid w:val="00821005"/>
    <w:rsid w:val="008253A4"/>
    <w:rsid w:val="008350F4"/>
    <w:rsid w:val="00837B65"/>
    <w:rsid w:val="00841FFB"/>
    <w:rsid w:val="00847180"/>
    <w:rsid w:val="00847AF1"/>
    <w:rsid w:val="00850C7B"/>
    <w:rsid w:val="00861207"/>
    <w:rsid w:val="0087075C"/>
    <w:rsid w:val="00870763"/>
    <w:rsid w:val="0087475A"/>
    <w:rsid w:val="00874DAC"/>
    <w:rsid w:val="008818BE"/>
    <w:rsid w:val="0088767E"/>
    <w:rsid w:val="00890C40"/>
    <w:rsid w:val="00895C59"/>
    <w:rsid w:val="008A1512"/>
    <w:rsid w:val="008A3B26"/>
    <w:rsid w:val="008A4111"/>
    <w:rsid w:val="008B5725"/>
    <w:rsid w:val="008C0CA0"/>
    <w:rsid w:val="008C7529"/>
    <w:rsid w:val="008D0431"/>
    <w:rsid w:val="008D542A"/>
    <w:rsid w:val="008D6E20"/>
    <w:rsid w:val="008E0DD1"/>
    <w:rsid w:val="008E1474"/>
    <w:rsid w:val="008E1CBA"/>
    <w:rsid w:val="008E1DBF"/>
    <w:rsid w:val="008F5D79"/>
    <w:rsid w:val="009010DC"/>
    <w:rsid w:val="00905EBE"/>
    <w:rsid w:val="0090697E"/>
    <w:rsid w:val="009135C8"/>
    <w:rsid w:val="00915F0F"/>
    <w:rsid w:val="00920546"/>
    <w:rsid w:val="009216CE"/>
    <w:rsid w:val="009221E2"/>
    <w:rsid w:val="009271A0"/>
    <w:rsid w:val="00927FC5"/>
    <w:rsid w:val="009425C7"/>
    <w:rsid w:val="00942700"/>
    <w:rsid w:val="009532DF"/>
    <w:rsid w:val="00960AF3"/>
    <w:rsid w:val="009708BB"/>
    <w:rsid w:val="009727D9"/>
    <w:rsid w:val="00975C84"/>
    <w:rsid w:val="0098648E"/>
    <w:rsid w:val="00986D0F"/>
    <w:rsid w:val="00993C94"/>
    <w:rsid w:val="00997019"/>
    <w:rsid w:val="009A2B47"/>
    <w:rsid w:val="009A5029"/>
    <w:rsid w:val="009A7F5D"/>
    <w:rsid w:val="009B0331"/>
    <w:rsid w:val="009C4191"/>
    <w:rsid w:val="009D38D5"/>
    <w:rsid w:val="009D5152"/>
    <w:rsid w:val="009E3816"/>
    <w:rsid w:val="009E5C96"/>
    <w:rsid w:val="009E6C10"/>
    <w:rsid w:val="009F5E8E"/>
    <w:rsid w:val="00A03A07"/>
    <w:rsid w:val="00A03DA3"/>
    <w:rsid w:val="00A040C7"/>
    <w:rsid w:val="00A04C5D"/>
    <w:rsid w:val="00A10D25"/>
    <w:rsid w:val="00A128C6"/>
    <w:rsid w:val="00A36A7F"/>
    <w:rsid w:val="00A51759"/>
    <w:rsid w:val="00A53F26"/>
    <w:rsid w:val="00A62A20"/>
    <w:rsid w:val="00A6506C"/>
    <w:rsid w:val="00A67796"/>
    <w:rsid w:val="00A7156E"/>
    <w:rsid w:val="00A720B5"/>
    <w:rsid w:val="00A773E8"/>
    <w:rsid w:val="00A82F7A"/>
    <w:rsid w:val="00A8399C"/>
    <w:rsid w:val="00A85887"/>
    <w:rsid w:val="00A9065D"/>
    <w:rsid w:val="00AA0CC5"/>
    <w:rsid w:val="00AA3C86"/>
    <w:rsid w:val="00AC1307"/>
    <w:rsid w:val="00AC62BC"/>
    <w:rsid w:val="00AE365F"/>
    <w:rsid w:val="00AE7EFA"/>
    <w:rsid w:val="00AF289E"/>
    <w:rsid w:val="00AF7BA4"/>
    <w:rsid w:val="00B03E0C"/>
    <w:rsid w:val="00B13093"/>
    <w:rsid w:val="00B16AFE"/>
    <w:rsid w:val="00B223BE"/>
    <w:rsid w:val="00B25529"/>
    <w:rsid w:val="00B27110"/>
    <w:rsid w:val="00B30D35"/>
    <w:rsid w:val="00B400B2"/>
    <w:rsid w:val="00B404C4"/>
    <w:rsid w:val="00B40AC9"/>
    <w:rsid w:val="00B412AC"/>
    <w:rsid w:val="00B429D0"/>
    <w:rsid w:val="00B42B96"/>
    <w:rsid w:val="00B45442"/>
    <w:rsid w:val="00B515B5"/>
    <w:rsid w:val="00B56B5A"/>
    <w:rsid w:val="00B574F9"/>
    <w:rsid w:val="00B61887"/>
    <w:rsid w:val="00B65DD5"/>
    <w:rsid w:val="00B67D4A"/>
    <w:rsid w:val="00B7067E"/>
    <w:rsid w:val="00B76F1E"/>
    <w:rsid w:val="00B777AC"/>
    <w:rsid w:val="00B83378"/>
    <w:rsid w:val="00B95BFC"/>
    <w:rsid w:val="00B9761E"/>
    <w:rsid w:val="00BA341B"/>
    <w:rsid w:val="00BA4625"/>
    <w:rsid w:val="00BA4778"/>
    <w:rsid w:val="00BA555B"/>
    <w:rsid w:val="00BB2EF8"/>
    <w:rsid w:val="00BB355F"/>
    <w:rsid w:val="00BB5B8B"/>
    <w:rsid w:val="00BB63C0"/>
    <w:rsid w:val="00BB7527"/>
    <w:rsid w:val="00BC01F3"/>
    <w:rsid w:val="00BC4CE2"/>
    <w:rsid w:val="00BC6983"/>
    <w:rsid w:val="00BC7FE7"/>
    <w:rsid w:val="00BD10B6"/>
    <w:rsid w:val="00BD6DBA"/>
    <w:rsid w:val="00BE64CC"/>
    <w:rsid w:val="00BF093D"/>
    <w:rsid w:val="00BF5123"/>
    <w:rsid w:val="00C07076"/>
    <w:rsid w:val="00C10B05"/>
    <w:rsid w:val="00C13ED6"/>
    <w:rsid w:val="00C2164F"/>
    <w:rsid w:val="00C22233"/>
    <w:rsid w:val="00C30252"/>
    <w:rsid w:val="00C318A2"/>
    <w:rsid w:val="00C34AE2"/>
    <w:rsid w:val="00C45BAE"/>
    <w:rsid w:val="00C500A5"/>
    <w:rsid w:val="00C50BB0"/>
    <w:rsid w:val="00C62B39"/>
    <w:rsid w:val="00C71FD0"/>
    <w:rsid w:val="00C868B8"/>
    <w:rsid w:val="00C91D88"/>
    <w:rsid w:val="00C93DF7"/>
    <w:rsid w:val="00CA04A7"/>
    <w:rsid w:val="00CA1391"/>
    <w:rsid w:val="00CA7A84"/>
    <w:rsid w:val="00CB00DF"/>
    <w:rsid w:val="00CB2271"/>
    <w:rsid w:val="00CB4CC8"/>
    <w:rsid w:val="00CC248B"/>
    <w:rsid w:val="00CD65C9"/>
    <w:rsid w:val="00CE0D42"/>
    <w:rsid w:val="00CF0E8E"/>
    <w:rsid w:val="00D0075D"/>
    <w:rsid w:val="00D206EA"/>
    <w:rsid w:val="00D334AC"/>
    <w:rsid w:val="00D36895"/>
    <w:rsid w:val="00D36A88"/>
    <w:rsid w:val="00D41900"/>
    <w:rsid w:val="00D434CD"/>
    <w:rsid w:val="00D53BCF"/>
    <w:rsid w:val="00D56F4A"/>
    <w:rsid w:val="00D72C0D"/>
    <w:rsid w:val="00D73C72"/>
    <w:rsid w:val="00D9228E"/>
    <w:rsid w:val="00D9442A"/>
    <w:rsid w:val="00D95DD0"/>
    <w:rsid w:val="00DA124F"/>
    <w:rsid w:val="00DA3919"/>
    <w:rsid w:val="00DC77C9"/>
    <w:rsid w:val="00E00ACB"/>
    <w:rsid w:val="00E0592B"/>
    <w:rsid w:val="00E10A2F"/>
    <w:rsid w:val="00E119BA"/>
    <w:rsid w:val="00E123A6"/>
    <w:rsid w:val="00E135B7"/>
    <w:rsid w:val="00E13653"/>
    <w:rsid w:val="00E14009"/>
    <w:rsid w:val="00E21D54"/>
    <w:rsid w:val="00E25010"/>
    <w:rsid w:val="00E3098D"/>
    <w:rsid w:val="00E31738"/>
    <w:rsid w:val="00E319D0"/>
    <w:rsid w:val="00E32A8C"/>
    <w:rsid w:val="00E33332"/>
    <w:rsid w:val="00E41D1B"/>
    <w:rsid w:val="00E60CE9"/>
    <w:rsid w:val="00E62A46"/>
    <w:rsid w:val="00E631F3"/>
    <w:rsid w:val="00E65320"/>
    <w:rsid w:val="00E70C23"/>
    <w:rsid w:val="00E8096E"/>
    <w:rsid w:val="00E817BF"/>
    <w:rsid w:val="00E8568D"/>
    <w:rsid w:val="00E86786"/>
    <w:rsid w:val="00E948D0"/>
    <w:rsid w:val="00E95FB7"/>
    <w:rsid w:val="00EA4AE8"/>
    <w:rsid w:val="00EB047A"/>
    <w:rsid w:val="00EB1512"/>
    <w:rsid w:val="00EB55B5"/>
    <w:rsid w:val="00EB6C86"/>
    <w:rsid w:val="00EB7835"/>
    <w:rsid w:val="00EC0D3E"/>
    <w:rsid w:val="00EC0FDB"/>
    <w:rsid w:val="00EC1743"/>
    <w:rsid w:val="00ED0F1A"/>
    <w:rsid w:val="00ED2F80"/>
    <w:rsid w:val="00ED3706"/>
    <w:rsid w:val="00ED4C27"/>
    <w:rsid w:val="00EE0A39"/>
    <w:rsid w:val="00EE189C"/>
    <w:rsid w:val="00EE1A15"/>
    <w:rsid w:val="00EE28C8"/>
    <w:rsid w:val="00EE32CF"/>
    <w:rsid w:val="00EE428A"/>
    <w:rsid w:val="00F01FBB"/>
    <w:rsid w:val="00F05ECF"/>
    <w:rsid w:val="00F1624E"/>
    <w:rsid w:val="00F17425"/>
    <w:rsid w:val="00F237C1"/>
    <w:rsid w:val="00F2761C"/>
    <w:rsid w:val="00F32CE2"/>
    <w:rsid w:val="00F32F8A"/>
    <w:rsid w:val="00F356C1"/>
    <w:rsid w:val="00F36097"/>
    <w:rsid w:val="00F361CD"/>
    <w:rsid w:val="00F37E98"/>
    <w:rsid w:val="00F45BE6"/>
    <w:rsid w:val="00F53397"/>
    <w:rsid w:val="00F57454"/>
    <w:rsid w:val="00F61F5A"/>
    <w:rsid w:val="00F62F8A"/>
    <w:rsid w:val="00F65982"/>
    <w:rsid w:val="00F70069"/>
    <w:rsid w:val="00F7442C"/>
    <w:rsid w:val="00F74EE5"/>
    <w:rsid w:val="00F810AA"/>
    <w:rsid w:val="00F9051C"/>
    <w:rsid w:val="00F94926"/>
    <w:rsid w:val="00F954EE"/>
    <w:rsid w:val="00F965EF"/>
    <w:rsid w:val="00FA341E"/>
    <w:rsid w:val="00FB0EED"/>
    <w:rsid w:val="00FB15E7"/>
    <w:rsid w:val="00FB43EC"/>
    <w:rsid w:val="00FB6B40"/>
    <w:rsid w:val="00FB73F7"/>
    <w:rsid w:val="00FC0363"/>
    <w:rsid w:val="00FC78EF"/>
    <w:rsid w:val="00FD4E6D"/>
    <w:rsid w:val="00FF6161"/>
    <w:rsid w:val="3EDB8953"/>
    <w:rsid w:val="604464FC"/>
    <w:rsid w:val="7AFFD5B1"/>
    <w:rsid w:val="FF943E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unhideWhenUsed/>
    <w:qFormat/>
    <w:uiPriority w:val="0"/>
    <w:pPr>
      <w:jc w:val="left"/>
    </w:pPr>
  </w:style>
  <w:style w:type="paragraph" w:styleId="3">
    <w:name w:val="Body Text"/>
    <w:basedOn w:val="1"/>
    <w:link w:val="25"/>
    <w:qFormat/>
    <w:uiPriority w:val="0"/>
    <w:pPr>
      <w:widowControl/>
      <w:spacing w:after="240"/>
    </w:pPr>
    <w:rPr>
      <w:rFonts w:ascii="Times New Roman" w:hAnsi="Times New Roman" w:cs="Simplified Arabic"/>
      <w:kern w:val="0"/>
      <w:sz w:val="24"/>
      <w:szCs w:val="24"/>
      <w:lang w:val="en-GB" w:eastAsia="en-GB" w:bidi="ar-AE"/>
    </w:r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0"/>
    <w:qFormat/>
    <w:uiPriority w:val="0"/>
    <w:pPr>
      <w:snapToGrid w:val="0"/>
      <w:jc w:val="left"/>
    </w:pPr>
    <w:rPr>
      <w:rFonts w:ascii="Times New Roman" w:hAnsi="Times New Roman"/>
      <w:sz w:val="18"/>
      <w:szCs w:val="18"/>
    </w:rPr>
  </w:style>
  <w:style w:type="paragraph" w:styleId="8">
    <w:name w:val="annotation subject"/>
    <w:basedOn w:val="2"/>
    <w:next w:val="2"/>
    <w:link w:val="22"/>
    <w:semiHidden/>
    <w:unhideWhenUsed/>
    <w:qFormat/>
    <w:uiPriority w:val="99"/>
    <w:rPr>
      <w:b/>
      <w:bCs/>
    </w:rPr>
  </w:style>
  <w:style w:type="character" w:styleId="11">
    <w:name w:val="FollowedHyperlink"/>
    <w:basedOn w:val="10"/>
    <w:semiHidden/>
    <w:unhideWhenUsed/>
    <w:qFormat/>
    <w:uiPriority w:val="99"/>
    <w:rPr>
      <w:color w:val="954F72" w:themeColor="followedHyperlink"/>
      <w:u w:val="single"/>
      <w14:textFill>
        <w14:solidFill>
          <w14:schemeClr w14:val="folHlink"/>
        </w14:solidFill>
      </w14:textFill>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styleId="13">
    <w:name w:val="annotation reference"/>
    <w:basedOn w:val="10"/>
    <w:unhideWhenUsed/>
    <w:qFormat/>
    <w:uiPriority w:val="0"/>
    <w:rPr>
      <w:sz w:val="21"/>
      <w:szCs w:val="21"/>
    </w:rPr>
  </w:style>
  <w:style w:type="character" w:styleId="14">
    <w:name w:val="footnote reference"/>
    <w:basedOn w:val="10"/>
    <w:unhideWhenUsed/>
    <w:qFormat/>
    <w:uiPriority w:val="0"/>
    <w:rPr>
      <w:vertAlign w:val="superscript"/>
    </w:rPr>
  </w:style>
  <w:style w:type="character" w:customStyle="1" w:styleId="15">
    <w:name w:val="Header Char"/>
    <w:basedOn w:val="10"/>
    <w:link w:val="6"/>
    <w:qFormat/>
    <w:uiPriority w:val="99"/>
    <w:rPr>
      <w:rFonts w:ascii="Calibri" w:hAnsi="Calibri" w:eastAsia="宋体" w:cs="Times New Roman"/>
      <w:sz w:val="18"/>
      <w:szCs w:val="18"/>
    </w:rPr>
  </w:style>
  <w:style w:type="character" w:customStyle="1" w:styleId="16">
    <w:name w:val="Footer Char"/>
    <w:basedOn w:val="10"/>
    <w:link w:val="5"/>
    <w:qFormat/>
    <w:uiPriority w:val="99"/>
    <w:rPr>
      <w:rFonts w:ascii="Calibri" w:hAnsi="Calibri" w:eastAsia="宋体" w:cs="Times New Roman"/>
      <w:sz w:val="18"/>
      <w:szCs w:val="18"/>
    </w:rPr>
  </w:style>
  <w:style w:type="paragraph" w:styleId="17">
    <w:name w:val="List Paragraph"/>
    <w:basedOn w:val="1"/>
    <w:link w:val="19"/>
    <w:qFormat/>
    <w:uiPriority w:val="34"/>
    <w:pPr>
      <w:ind w:firstLine="420" w:firstLineChars="200"/>
    </w:pPr>
  </w:style>
  <w:style w:type="character" w:customStyle="1" w:styleId="18">
    <w:name w:val="Balloon Text Char"/>
    <w:basedOn w:val="10"/>
    <w:link w:val="4"/>
    <w:semiHidden/>
    <w:qFormat/>
    <w:uiPriority w:val="99"/>
    <w:rPr>
      <w:rFonts w:ascii="Calibri" w:hAnsi="Calibri" w:eastAsia="宋体" w:cs="Times New Roman"/>
      <w:kern w:val="2"/>
      <w:sz w:val="18"/>
      <w:szCs w:val="18"/>
    </w:rPr>
  </w:style>
  <w:style w:type="character" w:customStyle="1" w:styleId="19">
    <w:name w:val="List Paragraph Char"/>
    <w:link w:val="17"/>
    <w:qFormat/>
    <w:locked/>
    <w:uiPriority w:val="34"/>
    <w:rPr>
      <w:rFonts w:ascii="Calibri" w:hAnsi="Calibri" w:eastAsia="宋体" w:cs="Times New Roman"/>
      <w:kern w:val="2"/>
      <w:sz w:val="21"/>
      <w:szCs w:val="22"/>
    </w:rPr>
  </w:style>
  <w:style w:type="character" w:customStyle="1" w:styleId="20">
    <w:name w:val="Footnote Text Char"/>
    <w:basedOn w:val="10"/>
    <w:link w:val="7"/>
    <w:qFormat/>
    <w:uiPriority w:val="0"/>
    <w:rPr>
      <w:rFonts w:ascii="Times New Roman" w:hAnsi="Times New Roman" w:eastAsia="宋体" w:cs="Times New Roman"/>
      <w:kern w:val="2"/>
      <w:sz w:val="18"/>
      <w:szCs w:val="18"/>
    </w:rPr>
  </w:style>
  <w:style w:type="character" w:customStyle="1" w:styleId="21">
    <w:name w:val="Comment Text Char"/>
    <w:basedOn w:val="10"/>
    <w:link w:val="2"/>
    <w:qFormat/>
    <w:uiPriority w:val="0"/>
    <w:rPr>
      <w:rFonts w:ascii="Calibri" w:hAnsi="Calibri" w:eastAsia="宋体" w:cs="Times New Roman"/>
      <w:kern w:val="2"/>
      <w:sz w:val="21"/>
      <w:szCs w:val="22"/>
    </w:rPr>
  </w:style>
  <w:style w:type="character" w:customStyle="1" w:styleId="22">
    <w:name w:val="Comment Subject Char"/>
    <w:basedOn w:val="21"/>
    <w:link w:val="8"/>
    <w:semiHidden/>
    <w:qFormat/>
    <w:uiPriority w:val="99"/>
    <w:rPr>
      <w:rFonts w:ascii="Calibri" w:hAnsi="Calibri" w:eastAsia="宋体" w:cs="Times New Roman"/>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批注文字 字符1"/>
    <w:semiHidden/>
    <w:qFormat/>
    <w:uiPriority w:val="0"/>
    <w:rPr>
      <w:kern w:val="2"/>
      <w:sz w:val="21"/>
      <w:szCs w:val="24"/>
    </w:rPr>
  </w:style>
  <w:style w:type="character" w:customStyle="1" w:styleId="25">
    <w:name w:val="Body Text Char"/>
    <w:basedOn w:val="10"/>
    <w:link w:val="3"/>
    <w:qFormat/>
    <w:uiPriority w:val="0"/>
    <w:rPr>
      <w:rFonts w:ascii="Times New Roman" w:hAnsi="Times New Roman" w:eastAsia="宋体" w:cs="Simplified Arabic"/>
      <w:sz w:val="24"/>
      <w:szCs w:val="24"/>
      <w:lang w:val="en-GB" w:eastAsia="en-GB" w:bidi="ar-AE"/>
    </w:rPr>
  </w:style>
  <w:style w:type="paragraph" w:customStyle="1" w:styleId="26">
    <w:name w:val="Revision"/>
    <w:hidden/>
    <w:semiHidden/>
    <w:qFormat/>
    <w:uiPriority w:val="99"/>
    <w:rPr>
      <w:rFonts w:ascii="Calibri" w:hAnsi="Calibri" w:eastAsia="宋体" w:cs="Times New Roman"/>
      <w:kern w:val="2"/>
      <w:sz w:val="21"/>
      <w:szCs w:val="22"/>
      <w:lang w:val="en-US" w:eastAsia="zh-CN" w:bidi="ar-SA"/>
    </w:rPr>
  </w:style>
  <w:style w:type="character" w:customStyle="1" w:styleId="27">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155</Words>
  <Characters>889</Characters>
  <Lines>7</Lines>
  <Paragraphs>2</Paragraphs>
  <TotalTime>5</TotalTime>
  <ScaleCrop>false</ScaleCrop>
  <LinksUpToDate>false</LinksUpToDate>
  <CharactersWithSpaces>1042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2021-09-14T22:41:00Z</dcterms:created>
  <dc:creator>scjgj</dc:creator>
  <cp:lastModifiedBy>scjgj</cp:lastModifiedBy>
  <cp:lastPrinted>2025-01-03T17:28:50Z</cp:lastPrinted>
  <dcterms:modified xsi:type="dcterms:W3CDTF">2025-01-03T17:35:13Z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