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594" w:lineRule="exact"/>
        <w:jc w:val="center"/>
        <w:rPr>
          <w:rFonts w:ascii="SimHei" w:hAnsi="SimHei" w:eastAsia="SimHei" w:cs="SimHei"/>
          <w:bCs/>
          <w:kern w:val="0"/>
          <w:sz w:val="36"/>
          <w:szCs w:val="36"/>
          <w:lang w:val="en-GB" w:bidi="ar-AE"/>
        </w:rPr>
      </w:pPr>
      <w:r>
        <w:rPr>
          <w:rFonts w:hint="eastAsia" w:ascii="SimHei" w:hAnsi="SimHei" w:eastAsia="SimHei" w:cs="SimHei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SimSun" w:hAnsi="SimSun" w:cs="SimSun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中国北京同仁堂（集团）有限责任公司收购杭州信康管理咨询合伙企业（有限合伙）股权案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SimSun" w:hAnsi="SimSun" w:cs="SimSun"/>
                <w:kern w:val="0"/>
                <w:sz w:val="24"/>
                <w:lang w:bidi="ar-AE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中国北京同仁堂（集团）有限责任公司</w:t>
            </w:r>
            <w:r>
              <w:rPr>
                <w:rFonts w:hint="eastAsia" w:ascii="SimSun" w:hAnsi="SimSun" w:cs="SimSun"/>
                <w:kern w:val="0"/>
                <w:sz w:val="24"/>
                <w:lang w:bidi="ar-AE"/>
              </w:rPr>
              <w:t>（“同仁堂集团”）与杭州信达华屹投资管理有限公司（“信达华屹”）等签订《份额转让协议》，收购杭州信康管理咨询合伙企业（有限合伙）（“杭州信康”）99</w:t>
            </w:r>
            <w:r>
              <w:rPr>
                <w:rFonts w:ascii="SimSun" w:hAnsi="SimSun" w:cs="SimSun"/>
                <w:kern w:val="0"/>
                <w:sz w:val="24"/>
                <w:lang w:bidi="ar-AE"/>
              </w:rPr>
              <w:t>.995</w:t>
            </w:r>
            <w:r>
              <w:rPr>
                <w:rFonts w:hint="eastAsia" w:ascii="SimSun" w:hAnsi="SimSun" w:cs="SimSun"/>
                <w:kern w:val="0"/>
                <w:sz w:val="24"/>
                <w:lang w:bidi="ar-AE"/>
              </w:rPr>
              <w:t>7%的合伙份额。杭州信康通过持有天津同仁堂集团股份有限公司股份，主要从事泌尿系统疾病用中成药、心脑血管疾病用中成药的生产。交易前，信达华屹及其关联方持有杭州信康全部合伙份额，单独控制杭州信康。交易后，同仁堂集团、信达华屹分别持有杭州信康99.9957%和0.0043%的合伙份额，共同控制杭州信康。</w:t>
            </w:r>
          </w:p>
          <w:p>
            <w:pPr>
              <w:adjustRightInd w:val="0"/>
              <w:snapToGrid w:val="0"/>
              <w:rPr>
                <w:rFonts w:ascii="SimSun" w:hAnsi="SimSun" w:cs="SimSun"/>
                <w:bCs/>
                <w:color w:val="000000"/>
                <w:kern w:val="0"/>
                <w:sz w:val="24"/>
                <w:lang w:val="en-GB" w:bidi="ar-A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>参与集中的经营者简介（每个限</w:t>
            </w:r>
            <w:r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  <w:t>100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val="en-US" w:eastAsia="zh-CN"/>
              </w:rPr>
              <w:t>字以内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lang w:val="en-US" w:eastAsia="zh-CN"/>
              </w:rPr>
              <w:t>1.</w:t>
            </w:r>
            <w:r>
              <w:rPr>
                <w:rFonts w:hint="eastAsia" w:ascii="SimSun" w:hAnsi="SimSun" w:cs="SimSun"/>
                <w:kern w:val="0"/>
                <w:lang w:val="en-US" w:eastAsia="zh-CN"/>
              </w:rPr>
              <w:t>同仁堂集团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rPr>
                <w:rFonts w:ascii="SimSun" w:hAnsi="SimSun" w:cs="SimSun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同仁堂集团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val="en-GB" w:bidi="ar-AE"/>
              </w:rPr>
              <w:t>于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1992年8月17日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val="en-GB" w:bidi="ar-AE"/>
              </w:rPr>
              <w:t>成立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于北京市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val="en-GB" w:bidi="ar-AE"/>
              </w:rPr>
              <w:t>，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主要从事中药研发与生产、药品批发及零售业务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val="en-GB" w:bidi="ar-AE"/>
              </w:rPr>
              <w:t>。</w:t>
            </w:r>
          </w:p>
          <w:p>
            <w:pPr>
              <w:rPr>
                <w:lang w:val="en-GB" w:bidi="ar-AE"/>
              </w:rPr>
            </w:pPr>
          </w:p>
          <w:p>
            <w:pPr>
              <w:rPr>
                <w:lang w:val="en-GB" w:bidi="ar-AE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val="en-GB" w:bidi="ar-AE"/>
              </w:rPr>
              <w:t>同仁堂集团最终控制人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北京国有资本运营管理有限公司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val="en-GB" w:bidi="ar-AE"/>
              </w:rPr>
              <w:t>，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主要从事国有资本运营管理、投资管理、基金管理等业务。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lang w:val="en-US" w:eastAsia="zh-CN"/>
              </w:rPr>
              <w:t>2.</w:t>
            </w:r>
            <w:r>
              <w:rPr>
                <w:rFonts w:hint="eastAsia" w:ascii="SimSun" w:hAnsi="SimSun" w:cs="SimSun"/>
                <w:kern w:val="0"/>
                <w:lang w:val="en-US" w:eastAsia="zh-CN"/>
              </w:rPr>
              <w:t>信达华屹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SimSun" w:hAnsi="SimSun" w:cs="SimSun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信达华屹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val="en-GB" w:bidi="ar-AE"/>
              </w:rPr>
              <w:t>于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2016年9月7日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val="en-GB" w:bidi="ar-AE"/>
              </w:rPr>
              <w:t>成立于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浙江省杭州市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val="en-GB" w:bidi="ar-AE"/>
              </w:rPr>
              <w:t>，主要从事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资产管理、投资咨询、并购与融资等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val="en-GB" w:bidi="ar-AE"/>
              </w:rPr>
              <w:t>投资管理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服务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val="en-GB" w:bidi="ar-AE"/>
              </w:rPr>
              <w:t>。</w:t>
            </w:r>
          </w:p>
          <w:p>
            <w:pPr>
              <w:pStyle w:val="2"/>
              <w:rPr>
                <w:lang w:val="en-GB" w:bidi="ar-AE"/>
              </w:rPr>
            </w:pPr>
          </w:p>
          <w:p>
            <w:pPr>
              <w:widowControl/>
              <w:adjustRightInd w:val="0"/>
              <w:snapToGrid w:val="0"/>
              <w:rPr>
                <w:rFonts w:ascii="SimSun" w:hAnsi="SimSun" w:cs="SimSun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信达华屹的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val="en-GB" w:bidi="ar-AE"/>
              </w:rPr>
              <w:t>最终控制人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sz w:val="24"/>
                <w:lang w:bidi="ar-AE"/>
              </w:rPr>
              <w:t>中国信达资产管理股份有限公司，主要从事资产处置、资产重整、金融租赁、信托等业务。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sym w:font="Wingdings" w:char="00FE"/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 xml:space="preserve"> 1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>在同一相关市场，参与集中的经营者所占的市场份额之和小于15%。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sym w:font="Wingdings" w:char="00FE"/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 xml:space="preserve"> 2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>在上下游市场，参与集中的经营者所占的市场份额均小于25%。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sym w:font="Wingdings" w:char="00A8"/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 xml:space="preserve"> 3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sym w:font="Wingdings" w:char="00A8"/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 xml:space="preserve"> 4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sym w:font="Wingdings" w:char="00A8"/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 xml:space="preserve"> 5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sym w:font="Wingdings" w:char="00A8"/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 xml:space="preserve"> 6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ascii="SimSun" w:hAnsi="SimSun" w:cs="SimSun"/>
                <w:bCs/>
                <w:color w:val="000000"/>
                <w:kern w:val="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SimSun" w:hAnsi="SimSun" w:cs="SimSun"/>
                <w:bCs/>
                <w:color w:val="000000"/>
                <w:kern w:val="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/>
                <w:color w:val="000000"/>
                <w:kern w:val="0"/>
                <w:lang w:eastAsia="zh-CN"/>
              </w:rPr>
            </w:pPr>
            <w:r>
              <w:rPr>
                <w:rFonts w:hint="eastAsia" w:ascii="SimSun" w:hAnsi="SimSun" w:cs="SimSun"/>
                <w:b/>
                <w:color w:val="000000"/>
                <w:kern w:val="0"/>
                <w:lang w:eastAsia="zh-CN"/>
              </w:rPr>
              <w:t>横向重叠：</w:t>
            </w:r>
          </w:p>
          <w:tbl>
            <w:tblPr>
              <w:tblStyle w:val="8"/>
              <w:tblW w:w="74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8"/>
              <w:gridCol w:w="2221"/>
              <w:gridCol w:w="24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8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ascii="SimSun" w:hAnsi="SimSun" w:cs="SimSun"/>
                      <w:bCs/>
                      <w:color w:val="000000"/>
                      <w:kern w:val="0"/>
                      <w:lang w:eastAsia="zh-CN"/>
                    </w:rPr>
                    <w:t>相关商品市场</w:t>
                  </w:r>
                </w:p>
              </w:tc>
              <w:tc>
                <w:tcPr>
                  <w:tcW w:w="2221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ascii="SimSun" w:hAnsi="SimSun" w:cs="SimSun"/>
                      <w:bCs/>
                      <w:color w:val="000000"/>
                      <w:kern w:val="0"/>
                      <w:lang w:eastAsia="zh-CN"/>
                    </w:rPr>
                    <w:t>相关地域市场</w:t>
                  </w:r>
                </w:p>
              </w:tc>
              <w:tc>
                <w:tcPr>
                  <w:tcW w:w="2495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ascii="SimSun" w:hAnsi="SimSun" w:cs="SimSun"/>
                      <w:bCs/>
                      <w:color w:val="000000"/>
                      <w:kern w:val="0"/>
                      <w:lang w:eastAsia="zh-CN"/>
                    </w:rPr>
                    <w:t>2023年市场份额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8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  <w:t>泌尿系统疾病用中成药</w:t>
                  </w:r>
                </w:p>
              </w:tc>
              <w:tc>
                <w:tcPr>
                  <w:tcW w:w="2221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2495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  <w:t>同仁堂集团：0-5%</w:t>
                  </w:r>
                </w:p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  <w:t>信达华屹：0-5%</w:t>
                  </w:r>
                </w:p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  <w:t>合计：5-10%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8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  <w:t>心脑血管疾病用中成药</w:t>
                  </w:r>
                </w:p>
              </w:tc>
              <w:tc>
                <w:tcPr>
                  <w:tcW w:w="2221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2495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  <w:t>同仁堂集团：0-5%</w:t>
                  </w:r>
                </w:p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lang w:val="en-US" w:eastAsia="zh-CN"/>
                    </w:rPr>
                    <w:t>信达华屹：0-5%</w:t>
                  </w:r>
                </w:p>
                <w:p>
                  <w:pPr>
                    <w:pStyle w:val="5"/>
                    <w:ind w:firstLine="0" w:firstLineChars="0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合计：5-10%</w:t>
                  </w:r>
                </w:p>
              </w:tc>
            </w:tr>
          </w:tbl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/>
                <w:color w:val="000000"/>
                <w:kern w:val="0"/>
                <w:lang w:eastAsia="zh-CN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/>
                <w:color w:val="000000"/>
                <w:kern w:val="0"/>
                <w:lang w:eastAsia="zh-CN"/>
              </w:rPr>
            </w:pPr>
            <w:r>
              <w:rPr>
                <w:rFonts w:hint="eastAsia" w:ascii="SimSun" w:hAnsi="SimSun" w:cs="SimSun"/>
                <w:b/>
                <w:color w:val="000000"/>
                <w:kern w:val="0"/>
                <w:lang w:eastAsia="zh-CN"/>
              </w:rPr>
              <w:t>纵向关联：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90"/>
              <w:gridCol w:w="2492"/>
              <w:gridCol w:w="24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4" w:type="dxa"/>
                </w:tcPr>
                <w:p>
                  <w:pPr>
                    <w:widowControl/>
                    <w:adjustRightInd w:val="0"/>
                    <w:snapToGrid w:val="0"/>
                    <w:spacing w:after="240" w:line="340" w:lineRule="exact"/>
                    <w:jc w:val="center"/>
                    <w:rPr>
                      <w:rFonts w:ascii="SimSun" w:hAnsi="SimSun" w:cs="SimSun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  <w:t>相关商品市场</w:t>
                  </w:r>
                </w:p>
              </w:tc>
              <w:tc>
                <w:tcPr>
                  <w:tcW w:w="2495" w:type="dxa"/>
                </w:tcPr>
                <w:p>
                  <w:pPr>
                    <w:widowControl/>
                    <w:adjustRightInd w:val="0"/>
                    <w:snapToGrid w:val="0"/>
                    <w:spacing w:after="240" w:line="340" w:lineRule="exact"/>
                    <w:jc w:val="center"/>
                    <w:rPr>
                      <w:rFonts w:ascii="SimSun" w:hAnsi="SimSun" w:cs="SimSun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  <w:t>相关地域市场</w:t>
                  </w:r>
                </w:p>
              </w:tc>
              <w:tc>
                <w:tcPr>
                  <w:tcW w:w="2495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SimSun" w:hAnsi="SimSun" w:cs="SimSun"/>
                      <w:bCs/>
                      <w:color w:val="000000"/>
                      <w:kern w:val="0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lang w:eastAsia="zh-CN"/>
                    </w:rPr>
                    <w:t>2023年市场份额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  <w:t>上游：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  <w:t>泌尿系统疾病用中成药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  <w:t>心脑血管疾病用中成药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  <w:t>下游：</w:t>
                  </w:r>
                  <w:bookmarkStart w:id="0" w:name="_GoBack"/>
                  <w:bookmarkEnd w:id="0"/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ascii="SimSun" w:hAnsi="SimSun" w:cs="SimSun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  <w:t>药品批发</w:t>
                  </w:r>
                </w:p>
              </w:tc>
              <w:tc>
                <w:tcPr>
                  <w:tcW w:w="2495" w:type="dxa"/>
                </w:tcPr>
                <w:p>
                  <w:pPr>
                    <w:widowControl/>
                    <w:adjustRightInd w:val="0"/>
                    <w:snapToGrid w:val="0"/>
                    <w:spacing w:after="240" w:line="340" w:lineRule="exact"/>
                    <w:jc w:val="left"/>
                    <w:rPr>
                      <w:rFonts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  <w:t>上游：中国境内</w:t>
                  </w:r>
                </w:p>
                <w:p>
                  <w:pPr>
                    <w:widowControl/>
                    <w:adjustRightInd w:val="0"/>
                    <w:snapToGrid w:val="0"/>
                    <w:spacing w:after="240" w:line="340" w:lineRule="exact"/>
                    <w:jc w:val="left"/>
                    <w:rPr>
                      <w:rFonts w:ascii="SimSun" w:hAnsi="SimSun" w:cs="SimSun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  <w:t>下游：中国境内</w:t>
                  </w:r>
                </w:p>
              </w:tc>
              <w:tc>
                <w:tcPr>
                  <w:tcW w:w="2495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  <w:t>上游：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val="en-US" w:eastAsia="zh-CN" w:bidi="ar-AE"/>
                    </w:rPr>
                    <w:t>如上所述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  <w:t>下游：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SimSun" w:hAnsi="SimSun" w:cs="SimSun"/>
                      <w:bCs/>
                      <w:color w:val="000000"/>
                      <w:kern w:val="0"/>
                      <w:sz w:val="24"/>
                      <w:lang w:bidi="ar-AE"/>
                    </w:rPr>
                    <w:t>同仁堂集团：0-5%</w:t>
                  </w:r>
                </w:p>
              </w:tc>
            </w:tr>
          </w:tbl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eastAsia="zh-CN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kern w:val="0"/>
                <w:lang w:val="en-US" w:eastAsia="zh-CN"/>
              </w:rPr>
            </w:pPr>
          </w:p>
        </w:tc>
      </w:tr>
    </w:tbl>
    <w:p>
      <w:pPr>
        <w:pStyle w:val="4"/>
        <w:widowControl/>
        <w:adjustRightInd w:val="0"/>
        <w:snapToGrid w:val="0"/>
        <w:spacing w:after="0"/>
        <w:rPr>
          <w:rFonts w:ascii="Arial" w:hAnsi="Arial" w:eastAsia="楷体_GB2312" w:cs="Arial"/>
          <w:b/>
          <w:color w:val="000000"/>
          <w:kern w:val="0"/>
          <w:sz w:val="22"/>
          <w:szCs w:val="22"/>
          <w:lang w:eastAsia="zh-CN"/>
        </w:rPr>
      </w:pPr>
    </w:p>
    <w:p/>
    <w:p/>
    <w:sectPr>
      <w:endnotePr>
        <w:numFmt w:val="decimal"/>
      </w:endnotePr>
      <w:pgSz w:w="11906" w:h="16838"/>
      <w:pgMar w:top="1984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plified Arabic">
    <w:altName w:val="Times New Roman"/>
    <w:panose1 w:val="02020603050405020304"/>
    <w:charset w:val="B2"/>
    <w:family w:val="roman"/>
    <w:pitch w:val="default"/>
    <w:sig w:usb0="00000000" w:usb1="00000000" w:usb2="00000008" w:usb3="00000000" w:csb0="00000041" w:csb1="00000000"/>
  </w:font>
  <w:font w:name="SimHei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rawingGridVerticalSpacing w:val="156"/>
  <w:noPunctuationKerning w:val="true"/>
  <w:characterSpacingControl w:val="doNotCompress"/>
  <w:endnotePr>
    <w:numFmt w:val="decimal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D3381"/>
    <w:rsid w:val="000130C6"/>
    <w:rsid w:val="001304C9"/>
    <w:rsid w:val="00172581"/>
    <w:rsid w:val="001D5A67"/>
    <w:rsid w:val="003B5FA6"/>
    <w:rsid w:val="00491DD5"/>
    <w:rsid w:val="0059781A"/>
    <w:rsid w:val="006146D1"/>
    <w:rsid w:val="0064090C"/>
    <w:rsid w:val="00804DC0"/>
    <w:rsid w:val="0090010C"/>
    <w:rsid w:val="009F0AFB"/>
    <w:rsid w:val="00CA5085"/>
    <w:rsid w:val="00CB09C9"/>
    <w:rsid w:val="00CC1835"/>
    <w:rsid w:val="00EA48EF"/>
    <w:rsid w:val="3AD8D0D8"/>
    <w:rsid w:val="739928D6"/>
    <w:rsid w:val="7BFB9F21"/>
    <w:rsid w:val="BBDB7BEB"/>
    <w:rsid w:val="BDFF9B44"/>
    <w:rsid w:val="BEDAC5AC"/>
    <w:rsid w:val="BF37F9B8"/>
    <w:rsid w:val="CFFD3381"/>
    <w:rsid w:val="DFFC55FB"/>
    <w:rsid w:val="EFF7D440"/>
    <w:rsid w:val="F37F4773"/>
    <w:rsid w:val="FDEB7D3F"/>
    <w:rsid w:val="FEED69F6"/>
    <w:rsid w:val="FEFA80E7"/>
    <w:rsid w:val="FFE52CEE"/>
    <w:rsid w:val="FFFD8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after="240"/>
    </w:pPr>
    <w:rPr>
      <w:rFonts w:cs="Simplified Arabic"/>
      <w:sz w:val="24"/>
      <w:lang w:val="en-GB" w:eastAsia="en-GB" w:bidi="ar-AE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修订1"/>
    <w:hidden/>
    <w:unhideWhenUsed/>
    <w:qFormat/>
    <w:uiPriority w:val="99"/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customStyle="1" w:styleId="12">
    <w:name w:val="Revision1"/>
    <w:hidden/>
    <w:unhideWhenUsed/>
    <w:qFormat/>
    <w:uiPriority w:val="99"/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945</Characters>
  <Lines>7</Lines>
  <Paragraphs>2</Paragraphs>
  <TotalTime>7</TotalTime>
  <ScaleCrop>false</ScaleCrop>
  <LinksUpToDate>false</LinksUpToDate>
  <CharactersWithSpaces>1108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2024-11-01T08:04:00Z</dcterms:created>
  <dc:creator>通商张艺之</dc:creator>
  <cp:lastModifiedBy>scjgj</cp:lastModifiedBy>
  <dcterms:modified xsi:type="dcterms:W3CDTF">2024-11-11T16:13:11Z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0440CAC55CA27B7C9607216702F69EC9_41</vt:lpwstr>
  </property>
</Properties>
</file>