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22" w:lineRule="auto"/>
        <w:ind w:left="2344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pacing w:val="5"/>
          <w:sz w:val="36"/>
          <w:szCs w:val="36"/>
        </w:rPr>
        <w:t>经营者集中简易案件公示表</w:t>
      </w:r>
    </w:p>
    <w:p>
      <w:pPr>
        <w:spacing w:before="122"/>
      </w:pPr>
    </w:p>
    <w:tbl>
      <w:tblPr>
        <w:tblStyle w:val="4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1605"/>
        <w:gridCol w:w="60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46" w:type="dxa"/>
            <w:shd w:val="clear" w:color="auto" w:fill="D9D9D9"/>
            <w:vAlign w:val="top"/>
          </w:tcPr>
          <w:p>
            <w:pPr>
              <w:pStyle w:val="5"/>
              <w:spacing w:before="193" w:line="220" w:lineRule="auto"/>
              <w:ind w:left="561"/>
            </w:pPr>
            <w:r>
              <w:rPr>
                <w:spacing w:val="-4"/>
              </w:rPr>
              <w:t>案件名称</w:t>
            </w:r>
          </w:p>
        </w:tc>
        <w:tc>
          <w:tcPr>
            <w:tcW w:w="7698" w:type="dxa"/>
            <w:gridSpan w:val="2"/>
            <w:vAlign w:val="top"/>
          </w:tcPr>
          <w:p>
            <w:pPr>
              <w:pStyle w:val="5"/>
              <w:spacing w:before="37" w:line="222" w:lineRule="auto"/>
              <w:ind w:left="118" w:right="146" w:hanging="3"/>
            </w:pPr>
            <w:r>
              <w:t>广东邦普供应链管理有限公司与天津泰达碳资</w:t>
            </w:r>
            <w:r>
              <w:rPr>
                <w:spacing w:val="-1"/>
              </w:rPr>
              <w:t>产管理有限公司新设合营</w:t>
            </w:r>
            <w:r>
              <w:t xml:space="preserve"> </w:t>
            </w:r>
            <w:r>
              <w:rPr>
                <w:spacing w:val="-3"/>
              </w:rPr>
              <w:t>企业案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1946" w:type="dxa"/>
            <w:shd w:val="clear" w:color="auto" w:fill="D9D9D9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0" w:lineRule="auto"/>
              <w:ind w:left="622" w:right="78" w:hanging="530"/>
            </w:pPr>
            <w:r>
              <w:rPr>
                <w:spacing w:val="-4"/>
              </w:rPr>
              <w:t>交易概况（限200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字内）</w:t>
            </w:r>
          </w:p>
        </w:tc>
        <w:tc>
          <w:tcPr>
            <w:tcW w:w="7698" w:type="dxa"/>
            <w:gridSpan w:val="2"/>
            <w:vAlign w:val="top"/>
          </w:tcPr>
          <w:p>
            <w:pPr>
              <w:pStyle w:val="5"/>
              <w:spacing w:before="35" w:line="235" w:lineRule="auto"/>
              <w:ind w:left="114" w:right="146"/>
              <w:jc w:val="both"/>
            </w:pPr>
            <w:r>
              <w:t>广东邦普供应链管理有限公司（“广东邦普”</w:t>
            </w:r>
            <w:r>
              <w:rPr>
                <w:spacing w:val="-1"/>
              </w:rPr>
              <w:t>）与天津泰达碳资产管理</w:t>
            </w:r>
            <w:r>
              <w:t xml:space="preserve"> 有限公司（“天津泰达”）签署协议，在天津市</w:t>
            </w:r>
            <w:r>
              <w:rPr>
                <w:spacing w:val="-1"/>
              </w:rPr>
              <w:t>新设合营企业。合营企</w:t>
            </w:r>
            <w:r>
              <w:t xml:space="preserve"> 业主要从事废旧锂离子动力电池拆解回收业务。</w:t>
            </w:r>
            <w:r>
              <w:rPr>
                <w:spacing w:val="-1"/>
              </w:rPr>
              <w:t>交易后，广东邦普将持</w:t>
            </w:r>
            <w:r>
              <w:t xml:space="preserve"> </w:t>
            </w:r>
            <w:r>
              <w:rPr>
                <w:spacing w:val="-1"/>
              </w:rPr>
              <w:t>有合营企业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55%的股份，天津泰达将持有合营企业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45%的股份，广东邦</w:t>
            </w:r>
            <w:r>
              <w:t xml:space="preserve">  </w:t>
            </w:r>
            <w:r>
              <w:rPr>
                <w:spacing w:val="-3"/>
              </w:rPr>
              <w:t>普、天津泰达共同控制合营企业。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946" w:type="dxa"/>
            <w:vMerge w:val="restart"/>
            <w:tcBorders>
              <w:bottom w:val="nil"/>
            </w:tcBorders>
            <w:shd w:val="clear" w:color="auto" w:fill="D9D9D9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69"/>
            </w:pPr>
            <w:r>
              <w:rPr>
                <w:spacing w:val="2"/>
              </w:rPr>
              <w:t>参与集中的经营</w:t>
            </w:r>
          </w:p>
          <w:p>
            <w:pPr>
              <w:pStyle w:val="5"/>
              <w:spacing w:before="24" w:line="220" w:lineRule="auto"/>
              <w:ind w:left="90"/>
            </w:pPr>
            <w:r>
              <w:rPr>
                <w:spacing w:val="-3"/>
              </w:rPr>
              <w:t>者简介（每个限</w:t>
            </w:r>
          </w:p>
          <w:p>
            <w:pPr>
              <w:pStyle w:val="5"/>
              <w:spacing w:before="26" w:line="220" w:lineRule="auto"/>
              <w:ind w:left="307"/>
            </w:pPr>
            <w:r>
              <w:rPr>
                <w:spacing w:val="-9"/>
              </w:rPr>
              <w:t>100字以内）</w:t>
            </w:r>
          </w:p>
        </w:tc>
        <w:tc>
          <w:tcPr>
            <w:tcW w:w="160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25"/>
            </w:pPr>
            <w:r>
              <w:rPr>
                <w:spacing w:val="-5"/>
              </w:rPr>
              <w:t>1.广东邦普</w:t>
            </w:r>
          </w:p>
        </w:tc>
        <w:tc>
          <w:tcPr>
            <w:tcW w:w="6093" w:type="dxa"/>
            <w:vAlign w:val="top"/>
          </w:tcPr>
          <w:p>
            <w:pPr>
              <w:pStyle w:val="5"/>
              <w:spacing w:before="37" w:line="233" w:lineRule="auto"/>
              <w:ind w:left="118" w:right="45"/>
            </w:pPr>
            <w:r>
              <w:rPr>
                <w:spacing w:val="1"/>
              </w:rPr>
              <w:t>广东邦普于2022年11月3日成立于广东省佛山市，主要业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务为动力电池用正极材料及正极前驱体用原料、化学品</w:t>
            </w:r>
            <w:r>
              <w:rPr>
                <w:spacing w:val="7"/>
              </w:rPr>
              <w:t xml:space="preserve">  </w:t>
            </w:r>
            <w:r>
              <w:rPr>
                <w:spacing w:val="-11"/>
              </w:rPr>
              <w:t>贸易。</w:t>
            </w:r>
          </w:p>
          <w:p>
            <w:pPr>
              <w:pStyle w:val="5"/>
              <w:spacing w:before="24" w:line="221" w:lineRule="auto"/>
              <w:ind w:left="115" w:right="172" w:firstLine="2"/>
            </w:pPr>
            <w:r>
              <w:rPr>
                <w:spacing w:val="1"/>
              </w:rPr>
              <w:t>广东邦普最终控制人为自然人，主要通过广东邦普开展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业务。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19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10"/>
            </w:pPr>
            <w:r>
              <w:rPr>
                <w:spacing w:val="-7"/>
              </w:rPr>
              <w:t>2.天津泰达</w:t>
            </w:r>
          </w:p>
        </w:tc>
        <w:tc>
          <w:tcPr>
            <w:tcW w:w="6093" w:type="dxa"/>
            <w:vAlign w:val="top"/>
          </w:tcPr>
          <w:p>
            <w:pPr>
              <w:pStyle w:val="5"/>
              <w:spacing w:before="37" w:line="233" w:lineRule="auto"/>
              <w:ind w:left="116" w:right="100" w:firstLine="5"/>
            </w:pPr>
            <w:r>
              <w:rPr>
                <w:spacing w:val="-1"/>
              </w:rPr>
              <w:t>天津泰达于2023年1月11日成立于天津市，主要业务包括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碳资产管理服务、碳减排项目开发、碳交易与碳金融服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务、技术研发与咨询服务、数字化平台建设。</w:t>
            </w:r>
          </w:p>
          <w:p>
            <w:pPr>
              <w:pStyle w:val="5"/>
              <w:spacing w:before="24" w:line="227" w:lineRule="auto"/>
              <w:ind w:left="115" w:right="41" w:firstLine="6"/>
            </w:pPr>
            <w:r>
              <w:rPr>
                <w:spacing w:val="-1"/>
              </w:rPr>
              <w:t>天津泰达最终控制人为天津泰达投资控股有限公司，主</w:t>
            </w:r>
            <w:r>
              <w:rPr>
                <w:spacing w:val="4"/>
              </w:rPr>
              <w:t xml:space="preserve">  </w:t>
            </w:r>
            <w:r>
              <w:rPr>
                <w:spacing w:val="7"/>
              </w:rPr>
              <w:t>要业务涉及区域开发与房地产领域、公共事业领域、制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造业领域、金融领域、现代服务业领域。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46" w:type="dxa"/>
            <w:vMerge w:val="restart"/>
            <w:tcBorders>
              <w:bottom w:val="nil"/>
            </w:tcBorders>
            <w:shd w:val="clear" w:color="auto" w:fill="D9D9D9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75"/>
            </w:pPr>
            <w:r>
              <w:rPr>
                <w:spacing w:val="41"/>
              </w:rPr>
              <w:t>简易案件理由</w:t>
            </w:r>
          </w:p>
          <w:p>
            <w:pPr>
              <w:pStyle w:val="5"/>
              <w:spacing w:before="25" w:line="221" w:lineRule="auto"/>
              <w:ind w:left="95"/>
            </w:pPr>
            <w:r>
              <w:rPr>
                <w:spacing w:val="-2"/>
              </w:rPr>
              <w:t>（可以单选，也</w:t>
            </w:r>
          </w:p>
          <w:p>
            <w:pPr>
              <w:pStyle w:val="5"/>
              <w:spacing w:before="23" w:line="222" w:lineRule="auto"/>
              <w:ind w:left="319"/>
            </w:pPr>
            <w:r>
              <w:rPr>
                <w:spacing w:val="-1"/>
              </w:rPr>
              <w:t>可以多选）</w:t>
            </w:r>
          </w:p>
        </w:tc>
        <w:tc>
          <w:tcPr>
            <w:tcW w:w="7698" w:type="dxa"/>
            <w:gridSpan w:val="2"/>
            <w:vAlign w:val="top"/>
          </w:tcPr>
          <w:p>
            <w:pPr>
              <w:pStyle w:val="5"/>
              <w:spacing w:before="28"/>
              <w:jc w:val="right"/>
            </w:pP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rFonts w:ascii="Wingdings" w:hAnsi="Wingdings" w:eastAsia="Wingdings" w:cs="Wingdings"/>
                <w:spacing w:val="-79"/>
              </w:rPr>
              <w:t xml:space="preserve"> </w:t>
            </w:r>
            <w:r>
              <w:rPr>
                <w:spacing w:val="-5"/>
              </w:rPr>
              <w:t>1.在同一相关市场，参与集中的经营者所占的市场份额之和小于15%。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9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8" w:type="dxa"/>
            <w:gridSpan w:val="2"/>
            <w:vAlign w:val="top"/>
          </w:tcPr>
          <w:p>
            <w:pPr>
              <w:pStyle w:val="5"/>
              <w:spacing w:before="39" w:line="220" w:lineRule="auto"/>
              <w:ind w:left="141"/>
            </w:pPr>
            <w:r>
              <w:drawing>
                <wp:inline distT="0" distB="0" distL="0" distR="0">
                  <wp:extent cx="122555" cy="11747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39" cy="1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2.在上下游市场，参与集中的经营者所占的市</w:t>
            </w:r>
            <w:r>
              <w:rPr>
                <w:spacing w:val="-3"/>
              </w:rPr>
              <w:t>场份额均小于25%。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9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8" w:type="dxa"/>
            <w:gridSpan w:val="2"/>
            <w:vAlign w:val="top"/>
          </w:tcPr>
          <w:p>
            <w:pPr>
              <w:pStyle w:val="5"/>
              <w:spacing w:before="27" w:line="234" w:lineRule="auto"/>
              <w:ind w:left="120" w:right="300" w:firstLine="21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rFonts w:ascii="Wingdings" w:hAnsi="Wingdings" w:eastAsia="Wingdings" w:cs="Wingdings"/>
                <w:spacing w:val="-99"/>
              </w:rPr>
              <w:t xml:space="preserve"> </w:t>
            </w:r>
            <w:r>
              <w:rPr>
                <w:spacing w:val="-2"/>
              </w:rPr>
              <w:t>3.不在同一相关市场也不存在上下游关系的参与集中的经营</w:t>
            </w:r>
            <w:r>
              <w:rPr>
                <w:spacing w:val="-3"/>
              </w:rPr>
              <w:t>者，在</w:t>
            </w:r>
            <w:r>
              <w:t xml:space="preserve"> </w:t>
            </w:r>
            <w:r>
              <w:rPr>
                <w:spacing w:val="-3"/>
              </w:rPr>
              <w:t>与交易有关的每个市场所占的市场份额均小于25%。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9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8" w:type="dxa"/>
            <w:gridSpan w:val="2"/>
            <w:vAlign w:val="top"/>
          </w:tcPr>
          <w:p>
            <w:pPr>
              <w:pStyle w:val="5"/>
              <w:spacing w:before="27" w:line="234" w:lineRule="auto"/>
              <w:ind w:left="144" w:right="257" w:hanging="1"/>
            </w:pPr>
            <w:r>
              <w:rPr>
                <w:rFonts w:ascii="Wingdings" w:hAnsi="Wingdings" w:eastAsia="Wingdings" w:cs="Wingdings"/>
              </w:rPr>
              <w:t>o</w:t>
            </w:r>
            <w:r>
              <w:rPr>
                <w:rFonts w:ascii="Wingdings" w:hAnsi="Wingdings" w:eastAsia="Wingdings" w:cs="Wingdings"/>
                <w:spacing w:val="-122"/>
              </w:rPr>
              <w:t xml:space="preserve"> </w:t>
            </w:r>
            <w:r>
              <w:t xml:space="preserve">4.参与集中的经营者在中国境外设立合营企业，合营企业不在中国 </w:t>
            </w:r>
            <w:r>
              <w:rPr>
                <w:spacing w:val="-4"/>
              </w:rPr>
              <w:t>境内从事经济活动。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8" w:type="dxa"/>
            <w:gridSpan w:val="2"/>
            <w:vAlign w:val="top"/>
          </w:tcPr>
          <w:p>
            <w:pPr>
              <w:pStyle w:val="5"/>
              <w:spacing w:before="28" w:line="234" w:lineRule="auto"/>
              <w:ind w:left="159" w:right="257" w:hanging="17"/>
            </w:pPr>
            <w:r>
              <w:rPr>
                <w:rFonts w:ascii="Wingdings" w:hAnsi="Wingdings" w:eastAsia="Wingdings" w:cs="Wingdings"/>
              </w:rPr>
              <w:t>o</w:t>
            </w:r>
            <w:r>
              <w:rPr>
                <w:rFonts w:ascii="Wingdings" w:hAnsi="Wingdings" w:eastAsia="Wingdings" w:cs="Wingdings"/>
                <w:spacing w:val="-114"/>
              </w:rPr>
              <w:t xml:space="preserve"> </w:t>
            </w:r>
            <w:r>
              <w:t>5.参与集中的经营者收购境外企业股权或资产的</w:t>
            </w:r>
            <w:r>
              <w:rPr>
                <w:spacing w:val="-1"/>
              </w:rPr>
              <w:t>，该境外企业不在</w:t>
            </w:r>
            <w:r>
              <w:t xml:space="preserve"> </w:t>
            </w:r>
            <w:r>
              <w:rPr>
                <w:spacing w:val="-9"/>
              </w:rPr>
              <w:t>中</w:t>
            </w:r>
            <w:r>
              <w:rPr>
                <w:spacing w:val="42"/>
              </w:rPr>
              <w:t xml:space="preserve"> </w:t>
            </w:r>
            <w:r>
              <w:rPr>
                <w:spacing w:val="-9"/>
              </w:rPr>
              <w:t>国境内从事经济活动。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9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8" w:type="dxa"/>
            <w:gridSpan w:val="2"/>
            <w:vAlign w:val="top"/>
          </w:tcPr>
          <w:p>
            <w:pPr>
              <w:pStyle w:val="5"/>
              <w:spacing w:before="28" w:line="234" w:lineRule="auto"/>
              <w:ind w:left="118" w:right="178" w:firstLine="18"/>
            </w:pP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rFonts w:ascii="Wingdings" w:hAnsi="Wingdings" w:eastAsia="Wingdings" w:cs="Wingdings"/>
                <w:spacing w:val="-104"/>
              </w:rPr>
              <w:t xml:space="preserve"> </w:t>
            </w:r>
            <w:r>
              <w:rPr>
                <w:spacing w:val="-5"/>
              </w:rPr>
              <w:t>6. 由两个以上的经营者共同控制的合营企业 ，</w:t>
            </w:r>
            <w:r>
              <w:rPr>
                <w:spacing w:val="-6"/>
              </w:rPr>
              <w:t>通过集中被其中一个</w:t>
            </w:r>
            <w:r>
              <w:t xml:space="preserve"> </w:t>
            </w:r>
            <w:r>
              <w:rPr>
                <w:spacing w:val="-2"/>
              </w:rPr>
              <w:t>或 一个以上经营者控制。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946" w:type="dxa"/>
            <w:shd w:val="clear" w:color="auto" w:fill="D9D9D9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744"/>
            </w:pPr>
            <w:r>
              <w:rPr>
                <w:spacing w:val="-7"/>
              </w:rPr>
              <w:t>备注</w:t>
            </w:r>
          </w:p>
        </w:tc>
        <w:tc>
          <w:tcPr>
            <w:tcW w:w="7698" w:type="dxa"/>
            <w:gridSpan w:val="2"/>
            <w:vAlign w:val="top"/>
          </w:tcPr>
          <w:p>
            <w:pPr>
              <w:pStyle w:val="5"/>
              <w:spacing w:before="39" w:line="221" w:lineRule="auto"/>
              <w:ind w:left="118"/>
            </w:pPr>
            <w:r>
              <w:rPr>
                <w:b/>
                <w:bCs/>
                <w:spacing w:val="-5"/>
              </w:rPr>
              <w:t>纵向关联：</w:t>
            </w:r>
          </w:p>
          <w:p>
            <w:pPr>
              <w:pStyle w:val="5"/>
              <w:spacing w:before="24" w:line="212" w:lineRule="auto"/>
              <w:ind w:left="116"/>
            </w:pPr>
            <w:r>
              <w:rPr>
                <w:spacing w:val="-1"/>
              </w:rPr>
              <w:t>上游：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</w:t>
            </w:r>
            <w:r>
              <w:rPr>
                <w:spacing w:val="-1"/>
              </w:rPr>
              <w:t>年中国境内锂离子动力电池拆解回收市场</w:t>
            </w:r>
          </w:p>
          <w:p>
            <w:pPr>
              <w:pStyle w:val="5"/>
              <w:spacing w:line="333" w:lineRule="exact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position w:val="3"/>
              </w:rPr>
              <w:t>广东邦普：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5-10%</w:t>
            </w:r>
            <w:r>
              <w:rPr>
                <w:position w:val="3"/>
              </w:rPr>
              <w:t>，合营企业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(2027</w:t>
            </w:r>
            <w:r>
              <w:rPr>
                <w:position w:val="3"/>
              </w:rPr>
              <w:t>年预估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)</w:t>
            </w:r>
            <w:r>
              <w:rPr>
                <w:position w:val="3"/>
              </w:rPr>
              <w:t>：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0-</w:t>
            </w:r>
            <w:r>
              <w:rPr>
                <w:rFonts w:ascii="Times New Roman" w:hAnsi="Times New Roman" w:eastAsia="Times New Roman" w:cs="Times New Roman"/>
                <w:spacing w:val="-1"/>
                <w:position w:val="3"/>
              </w:rPr>
              <w:t>5%</w:t>
            </w:r>
          </w:p>
          <w:p>
            <w:pPr>
              <w:pStyle w:val="5"/>
              <w:spacing w:before="13" w:line="220" w:lineRule="auto"/>
              <w:ind w:left="121"/>
            </w:pPr>
            <w:r>
              <w:rPr>
                <w:spacing w:val="-1"/>
              </w:rPr>
              <w:t>下游：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</w:t>
            </w:r>
            <w:r>
              <w:rPr>
                <w:spacing w:val="-1"/>
              </w:rPr>
              <w:t>年中国境内镍钴锰三元前驱体市场</w:t>
            </w:r>
            <w:bookmarkStart w:id="0" w:name="_GoBack"/>
            <w:bookmarkEnd w:id="0"/>
          </w:p>
          <w:p>
            <w:pPr>
              <w:pStyle w:val="5"/>
              <w:spacing w:before="25" w:line="220" w:lineRule="auto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广东邦普：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15-20%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13" w:right="893" w:bottom="0" w:left="136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7FF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2024-11-20T15:14:00Z</dcterms:created>
  <dc:creator>oa</dc:creator>
  <cp:lastModifiedBy>scjgj</cp:lastModifiedBy>
  <dcterms:modified xsi:type="dcterms:W3CDTF">2024-11-20T19:04:53Z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2024-11-20T19:03:54Z</vt:filetime>
  </property>
  <property fmtid="{D5CDD505-2E9C-101B-9397-08002B2CF9AE}" pid="4" name="KSOProductBuildVer">
    <vt:lpwstr>2052-11.8.2.10125</vt:lpwstr>
  </property>
</Properties>
</file>