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E8651" w14:textId="77777777" w:rsidR="000B656D" w:rsidRDefault="000B656D" w:rsidP="000B656D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85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608"/>
        <w:gridCol w:w="4986"/>
      </w:tblGrid>
      <w:tr w:rsidR="000B656D" w14:paraId="4F56FA7A" w14:textId="77777777" w:rsidTr="000B656D">
        <w:trPr>
          <w:trHeight w:val="92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539CBB" w14:textId="77777777" w:rsidR="000B656D" w:rsidRDefault="000B656D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</w:rPr>
              <w:t>案件名称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7A77" w14:textId="5B87E0E3" w:rsidR="000B656D" w:rsidRDefault="008C1AF0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  <w:r w:rsidRPr="008C1AF0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中国国际技术智力合作集团有限公司</w:t>
            </w:r>
            <w:r w:rsidR="004B2347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与天津源峰千路企业管理合伙企业（有限合伙）</w:t>
            </w:r>
            <w:r w:rsidRPr="008C1AF0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收购中信外包服务集团有限公司股权案</w:t>
            </w:r>
          </w:p>
        </w:tc>
      </w:tr>
      <w:tr w:rsidR="000B656D" w14:paraId="7350BF1B" w14:textId="77777777" w:rsidTr="000B656D">
        <w:trPr>
          <w:trHeight w:val="139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3EC97" w14:textId="77777777" w:rsidR="000B656D" w:rsidRDefault="000B656D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>交易概况（限200字内）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7A1" w14:textId="5E19C99D" w:rsidR="000B656D" w:rsidRPr="00A47954" w:rsidRDefault="008C1AF0">
            <w:pPr>
              <w:widowControl w:val="0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</w:rPr>
            </w:pPr>
            <w:r w:rsidRPr="00A47954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中国国际技术智力合作集团有限公司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（“</w:t>
            </w:r>
            <w:r w:rsidRPr="00A47954">
              <w:rPr>
                <w:rFonts w:ascii="宋体" w:hAnsi="宋体" w:cs="宋体" w:hint="eastAsia"/>
                <w:b/>
                <w:color w:val="000000"/>
                <w:kern w:val="2"/>
              </w:rPr>
              <w:t>中智集团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”）</w:t>
            </w:r>
            <w:r w:rsidR="004B2347">
              <w:rPr>
                <w:rFonts w:ascii="宋体" w:hAnsi="宋体" w:cs="宋体" w:hint="eastAsia"/>
                <w:bCs/>
                <w:color w:val="000000"/>
                <w:kern w:val="2"/>
              </w:rPr>
              <w:t>、</w:t>
            </w:r>
            <w:r w:rsidR="004B2347" w:rsidRPr="004B2347">
              <w:rPr>
                <w:rFonts w:ascii="宋体" w:hAnsi="宋体" w:cs="宋体" w:hint="eastAsia"/>
                <w:bCs/>
                <w:color w:val="000000"/>
                <w:kern w:val="2"/>
              </w:rPr>
              <w:t>天津源峰千路企业管理合伙企业（有限合伙）</w:t>
            </w:r>
            <w:r w:rsidR="004B2347">
              <w:rPr>
                <w:rFonts w:ascii="宋体" w:hAnsi="宋体" w:cs="宋体" w:hint="eastAsia"/>
                <w:bCs/>
                <w:color w:val="000000"/>
                <w:kern w:val="2"/>
              </w:rPr>
              <w:t>（“</w:t>
            </w:r>
            <w:r w:rsidR="004B2347" w:rsidRPr="004B2347">
              <w:rPr>
                <w:rFonts w:ascii="宋体" w:hAnsi="宋体" w:cs="宋体" w:hint="eastAsia"/>
                <w:b/>
                <w:color w:val="000000"/>
                <w:kern w:val="2"/>
              </w:rPr>
              <w:t>天津源峰</w:t>
            </w:r>
            <w:r w:rsidR="004B2347">
              <w:rPr>
                <w:rFonts w:ascii="宋体" w:hAnsi="宋体" w:cs="宋体" w:hint="eastAsia"/>
                <w:bCs/>
                <w:color w:val="000000"/>
                <w:kern w:val="2"/>
              </w:rPr>
              <w:t>”）</w:t>
            </w:r>
            <w:r w:rsidR="00C66F1E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与深圳市中安保投资管理中心（有限合伙）（“</w:t>
            </w:r>
            <w:r w:rsidR="00C66F1E" w:rsidRPr="00A47954">
              <w:rPr>
                <w:rFonts w:ascii="宋体" w:hAnsi="宋体" w:cs="宋体" w:hint="eastAsia"/>
                <w:b/>
                <w:color w:val="000000"/>
                <w:kern w:val="2"/>
              </w:rPr>
              <w:t>中安保</w:t>
            </w:r>
            <w:r w:rsidR="00C66F1E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”）签署协议，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拟</w:t>
            </w:r>
            <w:r w:rsidR="00C66F1E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向中安保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收购中信外包服务集团有限公司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（“</w:t>
            </w:r>
            <w:r w:rsidRPr="00A47954">
              <w:rPr>
                <w:rFonts w:ascii="宋体" w:hAnsi="宋体" w:cs="宋体" w:hint="eastAsia"/>
                <w:b/>
                <w:color w:val="000000"/>
                <w:kern w:val="2"/>
              </w:rPr>
              <w:t>中信外包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”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>）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股权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。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中信外包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主要从事金融外包服务业务</w:t>
            </w:r>
            <w:r w:rsidR="000B656D" w:rsidRPr="00A47954">
              <w:rPr>
                <w:rFonts w:ascii="宋体" w:hAnsi="宋体" w:hint="eastAsia"/>
                <w:bCs/>
                <w:kern w:val="2"/>
              </w:rPr>
              <w:t>。</w:t>
            </w:r>
            <w:r w:rsidR="00C66F1E" w:rsidRPr="00A47954">
              <w:rPr>
                <w:rFonts w:ascii="宋体" w:hAnsi="宋体" w:hint="eastAsia"/>
                <w:bCs/>
                <w:kern w:val="2"/>
              </w:rPr>
              <w:t>交易前，中安保持有中信外包88.4081%股权，单独控制中信外包。</w:t>
            </w:r>
            <w:r w:rsidR="000B656D" w:rsidRPr="00A47954">
              <w:rPr>
                <w:rFonts w:ascii="宋体" w:hAnsi="宋体" w:hint="eastAsia"/>
                <w:bCs/>
                <w:kern w:val="2"/>
              </w:rPr>
              <w:t>交易后，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中智集团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>和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>天津源峰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将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>分别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持有中信外包</w:t>
            </w:r>
            <w:r w:rsidR="00B4350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58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%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 xml:space="preserve"> 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>、</w:t>
            </w:r>
            <w:r w:rsidR="006807F5">
              <w:rPr>
                <w:rFonts w:ascii="宋体" w:hAnsi="宋体" w:cs="宋体" w:hint="eastAsia"/>
                <w:bCs/>
                <w:color w:val="000000"/>
                <w:kern w:val="2"/>
              </w:rPr>
              <w:t>30.4081%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股权，</w:t>
            </w:r>
            <w:r w:rsidR="004B2347">
              <w:rPr>
                <w:rFonts w:ascii="宋体" w:hAnsi="宋体" w:cs="宋体" w:hint="eastAsia"/>
                <w:bCs/>
                <w:color w:val="000000"/>
                <w:kern w:val="2"/>
              </w:rPr>
              <w:t>共同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控制</w:t>
            </w:r>
            <w:r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中信外包</w:t>
            </w:r>
            <w:r w:rsidR="000B656D" w:rsidRPr="00A47954">
              <w:rPr>
                <w:rFonts w:ascii="宋体" w:hAnsi="宋体" w:cs="宋体" w:hint="eastAsia"/>
                <w:bCs/>
                <w:color w:val="000000"/>
                <w:kern w:val="2"/>
              </w:rPr>
              <w:t>。</w:t>
            </w:r>
          </w:p>
        </w:tc>
      </w:tr>
      <w:tr w:rsidR="000B656D" w14:paraId="5B8F5CA1" w14:textId="77777777" w:rsidTr="000B656D">
        <w:trPr>
          <w:trHeight w:val="942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C063EB" w14:textId="77777777" w:rsidR="000B656D" w:rsidRDefault="000B656D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>参与集中的经营者简介（每个限</w:t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100字以内</w:t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>）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2AFB" w14:textId="791F3E98" w:rsidR="000B656D" w:rsidRDefault="000B656D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1.</w:t>
            </w:r>
            <w:r w:rsidR="00BB5D65"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中智集团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0E8B" w14:textId="2DBB3390" w:rsidR="00BB5D65" w:rsidRDefault="00BB5D65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kern w:val="2"/>
                <w:lang w:val="en-US"/>
              </w:rPr>
            </w:pPr>
            <w:r>
              <w:rPr>
                <w:rFonts w:ascii="宋体" w:hAnsi="宋体" w:cs="宋体" w:hint="eastAsia"/>
                <w:kern w:val="2"/>
                <w:lang w:val="en-US"/>
              </w:rPr>
              <w:t>中智集团</w:t>
            </w:r>
            <w:r w:rsidR="000B656D">
              <w:rPr>
                <w:rFonts w:ascii="宋体" w:hAnsi="宋体" w:cs="宋体" w:hint="eastAsia"/>
                <w:kern w:val="2"/>
                <w:lang w:val="en-US"/>
              </w:rPr>
              <w:t>于</w:t>
            </w:r>
            <w:r>
              <w:rPr>
                <w:rFonts w:ascii="宋体" w:hAnsi="宋体" w:cs="宋体" w:hint="eastAsia"/>
                <w:kern w:val="2"/>
                <w:lang w:val="en-US"/>
              </w:rPr>
              <w:t>1987</w:t>
            </w:r>
            <w:r w:rsidR="000B656D">
              <w:rPr>
                <w:rFonts w:ascii="宋体" w:hAnsi="宋体" w:cs="宋体" w:hint="eastAsia"/>
                <w:kern w:val="2"/>
                <w:lang w:val="en-US"/>
              </w:rPr>
              <w:t>年</w:t>
            </w:r>
            <w:r>
              <w:rPr>
                <w:rFonts w:ascii="宋体" w:hAnsi="宋体" w:cs="宋体" w:hint="eastAsia"/>
                <w:kern w:val="2"/>
                <w:lang w:val="en-US"/>
              </w:rPr>
              <w:t>6</w:t>
            </w:r>
            <w:r w:rsidR="000B656D">
              <w:rPr>
                <w:rFonts w:ascii="宋体" w:hAnsi="宋体" w:cs="宋体" w:hint="eastAsia"/>
                <w:kern w:val="2"/>
                <w:lang w:val="en-US"/>
              </w:rPr>
              <w:t>月1</w:t>
            </w:r>
            <w:r>
              <w:rPr>
                <w:rFonts w:ascii="宋体" w:hAnsi="宋体" w:cs="宋体" w:hint="eastAsia"/>
                <w:kern w:val="2"/>
                <w:lang w:val="en-US"/>
              </w:rPr>
              <w:t>1</w:t>
            </w:r>
            <w:r w:rsidR="000B656D">
              <w:rPr>
                <w:rFonts w:ascii="宋体" w:hAnsi="宋体" w:cs="宋体" w:hint="eastAsia"/>
                <w:kern w:val="2"/>
                <w:lang w:val="en-US"/>
              </w:rPr>
              <w:t>日成立于</w:t>
            </w:r>
            <w:r>
              <w:rPr>
                <w:rFonts w:ascii="宋体" w:hAnsi="宋体" w:cs="宋体" w:hint="eastAsia"/>
                <w:kern w:val="2"/>
                <w:lang w:val="en-US"/>
              </w:rPr>
              <w:t>北京市</w:t>
            </w:r>
            <w:r w:rsidR="000B656D">
              <w:rPr>
                <w:rFonts w:ascii="宋体" w:hAnsi="宋体" w:cs="宋体" w:hint="eastAsia"/>
                <w:kern w:val="2"/>
                <w:lang w:val="en-US"/>
              </w:rPr>
              <w:t>，主要从事</w:t>
            </w:r>
            <w:r w:rsidRPr="00BB5D65">
              <w:rPr>
                <w:rFonts w:ascii="宋体" w:hAnsi="宋体" w:cs="宋体" w:hint="eastAsia"/>
                <w:kern w:val="2"/>
                <w:lang w:val="en-US"/>
              </w:rPr>
              <w:t>人力资源服务、投资与贸易服务等业务</w:t>
            </w:r>
            <w:r w:rsidR="000B656D">
              <w:rPr>
                <w:rFonts w:ascii="宋体" w:hAnsi="宋体" w:cs="宋体" w:hint="eastAsia"/>
                <w:kern w:val="2"/>
                <w:lang w:val="en-US"/>
              </w:rPr>
              <w:t>。</w:t>
            </w:r>
          </w:p>
          <w:p w14:paraId="414DAA69" w14:textId="4C7E2A64" w:rsidR="00BB5D65" w:rsidRPr="00BB5D65" w:rsidRDefault="00BB5D65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kern w:val="2"/>
                <w:lang w:val="en-US"/>
              </w:rPr>
            </w:pPr>
            <w:r>
              <w:rPr>
                <w:rFonts w:ascii="宋体" w:hAnsi="宋体" w:cs="宋体" w:hint="eastAsia"/>
                <w:kern w:val="2"/>
                <w:lang w:val="en-US"/>
              </w:rPr>
              <w:t>中智集团</w:t>
            </w:r>
            <w:r w:rsidR="005D46F9">
              <w:rPr>
                <w:rFonts w:ascii="宋体" w:hAnsi="宋体" w:cs="宋体" w:hint="eastAsia"/>
                <w:kern w:val="2"/>
                <w:lang w:val="en-US"/>
              </w:rPr>
              <w:t>无最终控制人</w:t>
            </w:r>
            <w:r>
              <w:rPr>
                <w:rFonts w:ascii="宋体" w:hAnsi="宋体" w:cs="宋体" w:hint="eastAsia"/>
                <w:kern w:val="2"/>
                <w:lang w:val="en-US"/>
              </w:rPr>
              <w:t>。</w:t>
            </w:r>
          </w:p>
        </w:tc>
      </w:tr>
      <w:tr w:rsidR="004B2347" w14:paraId="510F685D" w14:textId="77777777" w:rsidTr="000B656D">
        <w:trPr>
          <w:trHeight w:val="942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BA598" w14:textId="77777777" w:rsidR="004B2347" w:rsidRDefault="004B2347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A204" w14:textId="163E009C" w:rsidR="004B2347" w:rsidRDefault="004B2347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2.天津源峰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4018" w14:textId="77777777" w:rsidR="004B2347" w:rsidRDefault="004B2347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kern w:val="2"/>
                <w:lang w:val="en-US"/>
              </w:rPr>
            </w:pPr>
            <w:r>
              <w:rPr>
                <w:rFonts w:ascii="宋体" w:hAnsi="宋体" w:cs="宋体" w:hint="eastAsia"/>
                <w:kern w:val="2"/>
                <w:lang w:val="en-US"/>
              </w:rPr>
              <w:t>天津源峰于2021年6月30日成立于天津市，主要从事投资管理。</w:t>
            </w:r>
          </w:p>
          <w:p w14:paraId="6B705F93" w14:textId="2AA1967D" w:rsidR="004B2347" w:rsidRDefault="004B2347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kern w:val="2"/>
                <w:lang w:val="en-US"/>
              </w:rPr>
            </w:pPr>
            <w:r>
              <w:rPr>
                <w:rFonts w:ascii="宋体" w:hAnsi="宋体" w:cs="宋体" w:hint="eastAsia"/>
                <w:kern w:val="2"/>
                <w:lang w:val="en-US"/>
              </w:rPr>
              <w:t>天津源峰的最终控制人为中国籍自然人，主要从事投资管理。</w:t>
            </w:r>
          </w:p>
        </w:tc>
      </w:tr>
      <w:tr w:rsidR="00A7121A" w14:paraId="37B9AD80" w14:textId="77777777" w:rsidTr="000B656D">
        <w:trPr>
          <w:trHeight w:val="984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834" w14:textId="77777777" w:rsidR="00A7121A" w:rsidRDefault="00A7121A" w:rsidP="00A7121A">
            <w:pPr>
              <w:spacing w:after="0"/>
              <w:jc w:val="left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2F4" w14:textId="09548749" w:rsidR="00A7121A" w:rsidRDefault="004B2347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3</w:t>
            </w:r>
            <w:r w:rsidR="00A7121A"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.</w:t>
            </w:r>
            <w:r w:rsidR="008C1AF0"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>中信外包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BD13" w14:textId="2AF0F208" w:rsidR="008C1AF0" w:rsidRPr="008C1AF0" w:rsidRDefault="008C1AF0" w:rsidP="008C1AF0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  <w:r w:rsidRPr="008C1AF0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中信外包于2010年10月27日成立于北京市，主要从事安保押运、现钞管理、ATM服务、票据物流、档案寄存托管、信息管理及灾备等金融外包服务业务。</w:t>
            </w:r>
          </w:p>
          <w:p w14:paraId="4535B04F" w14:textId="27045034" w:rsidR="00A7121A" w:rsidRDefault="008C1AF0" w:rsidP="008C1AF0">
            <w:pPr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</w:rPr>
            </w:pPr>
            <w:r w:rsidRPr="008C1AF0"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  <w:t>中信外包的最终控制人为中国中信股份有限公司，其业务涵盖综合金融服务、先进智造、先进材料、新消费和新型城镇化。</w:t>
            </w:r>
          </w:p>
        </w:tc>
      </w:tr>
      <w:tr w:rsidR="00A7121A" w14:paraId="7689615F" w14:textId="77777777" w:rsidTr="000B656D">
        <w:trPr>
          <w:trHeight w:val="279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41E96E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>简易案件理由（可以单选，也可以多选）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0A50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kern w:val="2"/>
                <w:lang w:eastAsia="zh-CN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A7121A" w14:paraId="7C1BB071" w14:textId="77777777" w:rsidTr="000B656D">
        <w:trPr>
          <w:trHeight w:val="33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034" w14:textId="77777777" w:rsidR="00A7121A" w:rsidRDefault="00A7121A" w:rsidP="00A7121A">
            <w:pPr>
              <w:spacing w:after="0"/>
              <w:jc w:val="left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2393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kern w:val="2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A7121A" w14:paraId="5E0DB62C" w14:textId="77777777" w:rsidTr="000B656D">
        <w:trPr>
          <w:trHeight w:val="285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CA6C" w14:textId="77777777" w:rsidR="00A7121A" w:rsidRDefault="00A7121A" w:rsidP="00A7121A">
            <w:pPr>
              <w:spacing w:after="0"/>
              <w:jc w:val="left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7651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kern w:val="2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A7121A" w14:paraId="083C8F90" w14:textId="77777777" w:rsidTr="000B656D">
        <w:trPr>
          <w:trHeight w:val="870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B164" w14:textId="77777777" w:rsidR="00A7121A" w:rsidRDefault="00A7121A" w:rsidP="00A7121A">
            <w:pPr>
              <w:spacing w:after="0"/>
              <w:jc w:val="left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964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kern w:val="2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A7121A" w14:paraId="3A89256E" w14:textId="77777777" w:rsidTr="000B656D">
        <w:trPr>
          <w:trHeight w:val="264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3D90" w14:textId="77777777" w:rsidR="00A7121A" w:rsidRDefault="00A7121A" w:rsidP="00A7121A">
            <w:pPr>
              <w:spacing w:after="0"/>
              <w:jc w:val="left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8444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kern w:val="2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A7121A" w14:paraId="5E8B3955" w14:textId="77777777" w:rsidTr="000B656D">
        <w:trPr>
          <w:trHeight w:val="345"/>
        </w:trPr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C933" w14:textId="77777777" w:rsidR="00A7121A" w:rsidRDefault="00A7121A" w:rsidP="00A7121A">
            <w:pPr>
              <w:spacing w:after="0"/>
              <w:jc w:val="left"/>
              <w:rPr>
                <w:rFonts w:ascii="宋体" w:hAnsi="宋体" w:cs="宋体" w:hint="eastAsia"/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7402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kern w:val="2"/>
                <w:lang w:eastAsia="zh-CN"/>
              </w:rPr>
              <w:sym w:font="Wingdings" w:char="F0A8"/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A7121A" w14:paraId="02818C1F" w14:textId="77777777" w:rsidTr="000B656D">
        <w:trPr>
          <w:trHeight w:val="125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34C18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lastRenderedPageBreak/>
              <w:t>备注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02DE" w14:textId="77777777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/>
                <w:color w:val="000000"/>
                <w:kern w:val="2"/>
                <w:lang w:eastAsia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2"/>
                <w:lang w:eastAsia="zh-CN"/>
              </w:rPr>
              <w:t>横向重叠：</w:t>
            </w:r>
          </w:p>
          <w:p w14:paraId="4C19E9CC" w14:textId="67D0305F" w:rsidR="00A7121A" w:rsidRDefault="00A7121A" w:rsidP="00A7121A">
            <w:pPr>
              <w:pStyle w:val="a3"/>
              <w:adjustRightInd w:val="0"/>
              <w:snapToGrid w:val="0"/>
              <w:spacing w:after="0"/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202</w:t>
            </w:r>
            <w:r w:rsidR="00703536"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3</w:t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年</w:t>
            </w:r>
            <w:r w:rsidR="00BB5D65"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中国境内档案数字化服务市场</w:t>
            </w:r>
            <w:r>
              <w:rPr>
                <w:rFonts w:ascii="宋体" w:hAnsi="宋体" w:cs="宋体" w:hint="eastAsia"/>
                <w:bCs/>
                <w:color w:val="000000"/>
                <w:kern w:val="2"/>
                <w:lang w:val="en-US" w:eastAsia="zh-CN"/>
              </w:rPr>
              <w:t>:</w:t>
            </w:r>
          </w:p>
          <w:p w14:paraId="28CAADFD" w14:textId="36B05084" w:rsidR="00A7121A" w:rsidRPr="00B4350D" w:rsidRDefault="00BB5D65" w:rsidP="00D33F74">
            <w:pPr>
              <w:pStyle w:val="a3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kern w:val="2"/>
                <w:lang w:eastAsia="zh-CN"/>
              </w:rPr>
            </w:pPr>
            <w:r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中智集团</w:t>
            </w:r>
            <w:r w:rsidR="00A7121A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：</w:t>
            </w:r>
            <w:r w:rsidR="00C66F1E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0-5</w:t>
            </w:r>
            <w:r w:rsidR="00A7121A" w:rsidRPr="00703536">
              <w:rPr>
                <w:rFonts w:cs="Times New Roman"/>
                <w:bCs/>
                <w:color w:val="000000"/>
                <w:kern w:val="2"/>
                <w:lang w:eastAsia="zh-CN"/>
              </w:rPr>
              <w:t>%</w:t>
            </w:r>
            <w:r w:rsidR="00B4350D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，</w:t>
            </w:r>
            <w:r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中信外包</w:t>
            </w:r>
            <w:r w:rsidR="00B4350D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：</w:t>
            </w:r>
            <w:r w:rsidR="00C66F1E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0-5</w:t>
            </w:r>
            <w:r w:rsidR="00A7121A">
              <w:rPr>
                <w:rFonts w:cs="Times New Roman"/>
                <w:bCs/>
                <w:color w:val="000000"/>
                <w:kern w:val="2"/>
                <w:lang w:eastAsia="zh-CN"/>
              </w:rPr>
              <w:t>%</w:t>
            </w:r>
            <w:r w:rsidR="00B4350D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，</w:t>
            </w:r>
            <w:r w:rsidR="00A7121A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各方合计：</w:t>
            </w:r>
            <w:r w:rsidR="00384C12">
              <w:rPr>
                <w:rFonts w:cs="Times New Roman" w:hint="eastAsia"/>
                <w:bCs/>
                <w:color w:val="000000"/>
                <w:kern w:val="2"/>
                <w:lang w:eastAsia="zh-CN"/>
              </w:rPr>
              <w:t>0-5</w:t>
            </w:r>
            <w:r w:rsidR="00703536">
              <w:rPr>
                <w:rFonts w:cs="Times New Roman"/>
                <w:bCs/>
                <w:color w:val="000000"/>
                <w:kern w:val="2"/>
                <w:lang w:eastAsia="zh-CN"/>
              </w:rPr>
              <w:t>%</w:t>
            </w:r>
          </w:p>
        </w:tc>
      </w:tr>
    </w:tbl>
    <w:p w14:paraId="10828BE7" w14:textId="77777777" w:rsidR="0097690F" w:rsidRPr="00384C12" w:rsidRDefault="0097690F" w:rsidP="00D33F74"/>
    <w:sectPr w:rsidR="0097690F" w:rsidRPr="00384C1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77752" w14:textId="77777777" w:rsidR="00813007" w:rsidRDefault="00813007" w:rsidP="000B656D">
      <w:pPr>
        <w:spacing w:after="0"/>
      </w:pPr>
      <w:r>
        <w:separator/>
      </w:r>
    </w:p>
  </w:endnote>
  <w:endnote w:type="continuationSeparator" w:id="0">
    <w:p w14:paraId="5D96C01B" w14:textId="77777777" w:rsidR="00813007" w:rsidRDefault="00813007" w:rsidP="000B6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9"/>
      </w:rPr>
      <w:id w:val="-448939388"/>
      <w:docPartObj>
        <w:docPartGallery w:val="Page Numbers (Bottom of Page)"/>
        <w:docPartUnique/>
      </w:docPartObj>
    </w:sdtPr>
    <w:sdtContent>
      <w:p w14:paraId="0ACAC55F" w14:textId="77777777" w:rsidR="000B656D" w:rsidRDefault="000B656D" w:rsidP="00DF7F3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200295AC" w14:textId="77777777" w:rsidR="000B656D" w:rsidRDefault="000B65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9"/>
      </w:rPr>
      <w:id w:val="-1227751220"/>
      <w:docPartObj>
        <w:docPartGallery w:val="Page Numbers (Bottom of Page)"/>
        <w:docPartUnique/>
      </w:docPartObj>
    </w:sdtPr>
    <w:sdtContent>
      <w:p w14:paraId="62B3C657" w14:textId="77777777" w:rsidR="000B656D" w:rsidRDefault="000B656D" w:rsidP="00DF7F3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5CCE082" w14:textId="77777777" w:rsidR="000B656D" w:rsidRDefault="000B656D" w:rsidP="000B656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DFCC4" w14:textId="77777777" w:rsidR="00813007" w:rsidRDefault="00813007" w:rsidP="000B656D">
      <w:pPr>
        <w:spacing w:after="0"/>
      </w:pPr>
      <w:r>
        <w:separator/>
      </w:r>
    </w:p>
  </w:footnote>
  <w:footnote w:type="continuationSeparator" w:id="0">
    <w:p w14:paraId="16B15661" w14:textId="77777777" w:rsidR="00813007" w:rsidRDefault="00813007" w:rsidP="000B65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6D"/>
    <w:rsid w:val="0002789A"/>
    <w:rsid w:val="000642F4"/>
    <w:rsid w:val="000B656D"/>
    <w:rsid w:val="00104E66"/>
    <w:rsid w:val="00174F09"/>
    <w:rsid w:val="00193DC1"/>
    <w:rsid w:val="001C7EB6"/>
    <w:rsid w:val="00292509"/>
    <w:rsid w:val="002A1E91"/>
    <w:rsid w:val="002D3C5B"/>
    <w:rsid w:val="003206A8"/>
    <w:rsid w:val="003206F3"/>
    <w:rsid w:val="00323DA6"/>
    <w:rsid w:val="00342842"/>
    <w:rsid w:val="00384C12"/>
    <w:rsid w:val="003A3B2B"/>
    <w:rsid w:val="003C0FEB"/>
    <w:rsid w:val="003F01A7"/>
    <w:rsid w:val="004B2347"/>
    <w:rsid w:val="00522CD2"/>
    <w:rsid w:val="00543B36"/>
    <w:rsid w:val="005820E9"/>
    <w:rsid w:val="005D46F9"/>
    <w:rsid w:val="00601DFE"/>
    <w:rsid w:val="0061403C"/>
    <w:rsid w:val="006807F5"/>
    <w:rsid w:val="00703536"/>
    <w:rsid w:val="007E60C3"/>
    <w:rsid w:val="00813007"/>
    <w:rsid w:val="008C1AF0"/>
    <w:rsid w:val="0097690F"/>
    <w:rsid w:val="00A47954"/>
    <w:rsid w:val="00A61DF9"/>
    <w:rsid w:val="00A7121A"/>
    <w:rsid w:val="00A85866"/>
    <w:rsid w:val="00AC6F39"/>
    <w:rsid w:val="00B059D5"/>
    <w:rsid w:val="00B2019A"/>
    <w:rsid w:val="00B4350D"/>
    <w:rsid w:val="00B84A3C"/>
    <w:rsid w:val="00BB5D65"/>
    <w:rsid w:val="00BD44C7"/>
    <w:rsid w:val="00BD6F46"/>
    <w:rsid w:val="00C66F1E"/>
    <w:rsid w:val="00CA41B9"/>
    <w:rsid w:val="00CE7563"/>
    <w:rsid w:val="00D04099"/>
    <w:rsid w:val="00D33F74"/>
    <w:rsid w:val="00E755A5"/>
    <w:rsid w:val="00E815B5"/>
    <w:rsid w:val="00F007B1"/>
    <w:rsid w:val="00F8266B"/>
    <w:rsid w:val="00F82A1A"/>
    <w:rsid w:val="00F9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43F0"/>
  <w15:chartTrackingRefBased/>
  <w15:docId w15:val="{4BA646EB-3B8E-C147-86AB-8314BCD4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56D"/>
    <w:pPr>
      <w:spacing w:after="240"/>
      <w:jc w:val="both"/>
    </w:pPr>
    <w:rPr>
      <w:rFonts w:ascii="Times New Roman" w:eastAsia="宋体" w:hAnsi="Times New Roman" w:cs="Times New Roman"/>
      <w:kern w:val="0"/>
      <w:sz w:val="24"/>
      <w:lang w:val="en-GB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56D"/>
    <w:rPr>
      <w:rFonts w:cs="Simplified Arabic"/>
      <w:lang w:eastAsia="en-GB"/>
    </w:rPr>
  </w:style>
  <w:style w:type="character" w:customStyle="1" w:styleId="a4">
    <w:name w:val="正文文本 字符"/>
    <w:basedOn w:val="a0"/>
    <w:link w:val="a3"/>
    <w:rsid w:val="000B656D"/>
    <w:rPr>
      <w:rFonts w:ascii="Times New Roman" w:eastAsia="宋体" w:hAnsi="Times New Roman" w:cs="Simplified Arabic"/>
      <w:kern w:val="0"/>
      <w:sz w:val="24"/>
      <w:lang w:val="en-GB" w:eastAsia="en-GB" w:bidi="ar-AE"/>
    </w:rPr>
  </w:style>
  <w:style w:type="paragraph" w:styleId="a5">
    <w:name w:val="header"/>
    <w:basedOn w:val="a"/>
    <w:link w:val="a6"/>
    <w:uiPriority w:val="99"/>
    <w:unhideWhenUsed/>
    <w:rsid w:val="000B65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656D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paragraph" w:styleId="a7">
    <w:name w:val="footer"/>
    <w:basedOn w:val="a"/>
    <w:link w:val="a8"/>
    <w:uiPriority w:val="99"/>
    <w:unhideWhenUsed/>
    <w:rsid w:val="000B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656D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9">
    <w:name w:val="page number"/>
    <w:basedOn w:val="a0"/>
    <w:uiPriority w:val="99"/>
    <w:semiHidden/>
    <w:unhideWhenUsed/>
    <w:rsid w:val="000B656D"/>
  </w:style>
  <w:style w:type="character" w:styleId="aa">
    <w:name w:val="annotation reference"/>
    <w:basedOn w:val="a0"/>
    <w:uiPriority w:val="99"/>
    <w:semiHidden/>
    <w:unhideWhenUsed/>
    <w:rsid w:val="00D33F74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D33F74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D33F74"/>
    <w:rPr>
      <w:rFonts w:ascii="Times New Roman" w:eastAsia="宋体" w:hAnsi="Times New Roman" w:cs="Times New Roman"/>
      <w:kern w:val="0"/>
      <w:sz w:val="24"/>
      <w:lang w:val="en-GB" w:bidi="ar-A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3F7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33F74"/>
    <w:rPr>
      <w:rFonts w:ascii="Times New Roman" w:eastAsia="宋体" w:hAnsi="Times New Roman" w:cs="Times New Roman"/>
      <w:b/>
      <w:bCs/>
      <w:kern w:val="0"/>
      <w:sz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141</Words>
  <Characters>808</Characters>
  <Application>Microsoft Office Word</Application>
  <DocSecurity>0</DocSecurity>
  <Lines>6</Lines>
  <Paragraphs>1</Paragraphs>
  <ScaleCrop>false</ScaleCrop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莉 肖</cp:lastModifiedBy>
  <cp:revision>18</cp:revision>
  <dcterms:created xsi:type="dcterms:W3CDTF">2024-01-30T10:02:00Z</dcterms:created>
  <dcterms:modified xsi:type="dcterms:W3CDTF">2024-10-22T02:35:00Z</dcterms:modified>
  <cp:category/>
</cp:coreProperties>
</file>