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440" w:lineRule="exact"/>
        <w:jc w:val="center"/>
        <w:rPr>
          <w:rFonts w:ascii="黑体" w:eastAsia="黑体"/>
          <w:kern w:val="2"/>
          <w:sz w:val="36"/>
          <w:szCs w:val="36"/>
          <w:lang w:val="en-US" w:bidi="ar-SA"/>
        </w:rPr>
      </w:pPr>
      <w:r>
        <w:rPr>
          <w:rFonts w:hint="eastAsia" w:ascii="黑体" w:eastAsia="黑体"/>
          <w:kern w:val="2"/>
          <w:sz w:val="36"/>
          <w:szCs w:val="36"/>
          <w:lang w:val="en-US" w:bidi="ar-SA"/>
        </w:rPr>
        <w:t>经营者集中简易案件公示表</w:t>
      </w:r>
    </w:p>
    <w:p>
      <w:pPr>
        <w:widowControl w:val="0"/>
        <w:spacing w:after="0" w:line="440" w:lineRule="exact"/>
        <w:jc w:val="center"/>
        <w:rPr>
          <w:rFonts w:ascii="黑体" w:eastAsia="黑体"/>
          <w:kern w:val="2"/>
          <w:sz w:val="36"/>
          <w:szCs w:val="36"/>
          <w:lang w:val="en-US" w:bidi="ar-SA"/>
        </w:rPr>
      </w:pP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Ardian法国股份公司收购FGP Topco有限公司股权案</w:t>
            </w:r>
            <w:r>
              <w:rPr>
                <w:rFonts w:hint="eastAsia" w:eastAsia="新宋体"/>
                <w:szCs w:val="21"/>
              </w:rPr>
              <w:t>（“</w:t>
            </w:r>
            <w:r>
              <w:rPr>
                <w:rFonts w:hint="eastAsia" w:eastAsia="新宋体"/>
                <w:b/>
                <w:bCs/>
                <w:szCs w:val="21"/>
              </w:rPr>
              <w:t>本交易</w:t>
            </w:r>
            <w:r>
              <w:rPr>
                <w:rFonts w:hint="eastAsia" w:eastAsia="新宋体"/>
                <w:szCs w:val="21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kern w:val="2"/>
                <w:lang w:bidi="ar-SA"/>
              </w:rPr>
            </w:pPr>
            <w:r>
              <w:rPr>
                <w:szCs w:val="21"/>
              </w:rPr>
              <w:t>根据2024年6月14日股权购买协议，Ardian法国股份公司（</w:t>
            </w:r>
            <w:r>
              <w:rPr>
                <w:rFonts w:hint="eastAsia" w:eastAsia="新宋体"/>
                <w:szCs w:val="21"/>
              </w:rPr>
              <w:t>“</w:t>
            </w:r>
            <w:r>
              <w:rPr>
                <w:b/>
                <w:bCs/>
                <w:szCs w:val="21"/>
              </w:rPr>
              <w:t>Ardian</w:t>
            </w:r>
            <w:r>
              <w:rPr>
                <w:rFonts w:hint="eastAsia" w:eastAsia="新宋体"/>
                <w:szCs w:val="21"/>
              </w:rPr>
              <w:t>”</w:t>
            </w:r>
            <w:r>
              <w:rPr>
                <w:szCs w:val="21"/>
              </w:rPr>
              <w:t>）和</w:t>
            </w:r>
            <w:bookmarkStart w:id="0" w:name="_Hlk171343015"/>
            <w:r>
              <w:rPr>
                <w:szCs w:val="21"/>
              </w:rPr>
              <w:t>沙特公共投资基金</w:t>
            </w:r>
            <w:bookmarkEnd w:id="0"/>
            <w:r>
              <w:rPr>
                <w:kern w:val="2"/>
                <w:lang w:bidi="ar-SA"/>
              </w:rPr>
              <w:t>将</w:t>
            </w:r>
            <w:r>
              <w:rPr>
                <w:rFonts w:hint="eastAsia"/>
                <w:kern w:val="2"/>
                <w:lang w:bidi="ar-SA"/>
              </w:rPr>
              <w:t>通过</w:t>
            </w:r>
            <w:r>
              <w:rPr>
                <w:kern w:val="2"/>
                <w:lang w:bidi="ar-SA"/>
              </w:rPr>
              <w:t>特殊目的</w:t>
            </w:r>
            <w:r>
              <w:rPr>
                <w:rFonts w:hint="eastAsia"/>
                <w:kern w:val="2"/>
                <w:lang w:bidi="ar-SA"/>
              </w:rPr>
              <w:t>公司向</w:t>
            </w:r>
            <w:r>
              <w:rPr>
                <w:szCs w:val="21"/>
              </w:rPr>
              <w:t>Ferrovial股份公司（</w:t>
            </w:r>
            <w:r>
              <w:rPr>
                <w:rFonts w:hint="eastAsia" w:eastAsia="新宋体"/>
                <w:szCs w:val="21"/>
              </w:rPr>
              <w:t>“</w:t>
            </w:r>
            <w:r>
              <w:rPr>
                <w:b/>
                <w:bCs/>
                <w:szCs w:val="21"/>
              </w:rPr>
              <w:t>Ferrovial</w:t>
            </w:r>
            <w:r>
              <w:rPr>
                <w:rFonts w:hint="eastAsia" w:eastAsia="新宋体"/>
                <w:szCs w:val="21"/>
              </w:rPr>
              <w:t>”</w:t>
            </w:r>
            <w:r>
              <w:rPr>
                <w:szCs w:val="21"/>
              </w:rPr>
              <w:t>）、魁北克储蓄投资集团和USS Buzzard有限公司</w:t>
            </w:r>
            <w:r>
              <w:rPr>
                <w:kern w:val="2"/>
                <w:lang w:bidi="ar-SA"/>
              </w:rPr>
              <w:t>收购</w:t>
            </w:r>
            <w:r>
              <w:rPr>
                <w:rFonts w:hint="eastAsia"/>
                <w:kern w:val="2"/>
                <w:lang w:bidi="ar-SA"/>
              </w:rPr>
              <w:t>FGP Topco有限公司</w:t>
            </w:r>
            <w:r>
              <w:rPr>
                <w:szCs w:val="21"/>
              </w:rPr>
              <w:t>（</w:t>
            </w:r>
            <w:r>
              <w:rPr>
                <w:rFonts w:hint="eastAsia" w:eastAsia="新宋体"/>
                <w:szCs w:val="21"/>
              </w:rPr>
              <w:t>“</w:t>
            </w:r>
            <w:r>
              <w:rPr>
                <w:rFonts w:hint="eastAsia"/>
                <w:b/>
                <w:bCs/>
                <w:szCs w:val="21"/>
              </w:rPr>
              <w:t>目标公司</w:t>
            </w:r>
            <w:r>
              <w:rPr>
                <w:rFonts w:hint="eastAsia" w:eastAsia="新宋体"/>
                <w:szCs w:val="21"/>
              </w:rPr>
              <w:t>”</w:t>
            </w:r>
            <w:r>
              <w:rPr>
                <w:szCs w:val="21"/>
              </w:rPr>
              <w:t>）</w:t>
            </w:r>
            <w:r>
              <w:rPr>
                <w:kern w:val="2"/>
                <w:lang w:bidi="ar-SA"/>
              </w:rPr>
              <w:t>约22.61%及约15.01%的股权。目标公司管理和维护英国希思罗机场的跑道、航站楼、行李系统和其他机场设施。</w:t>
            </w:r>
            <w:r>
              <w:rPr>
                <w:rFonts w:hint="eastAsia"/>
                <w:kern w:val="2"/>
                <w:lang w:bidi="ar-SA"/>
              </w:rPr>
              <w:t>本交易前</w:t>
            </w:r>
            <w:r>
              <w:rPr>
                <w:kern w:val="2"/>
                <w:lang w:bidi="ar-SA"/>
              </w:rPr>
              <w:t>，目标公司由Ferrovial</w:t>
            </w:r>
            <w:r>
              <w:rPr>
                <w:rFonts w:hint="eastAsia"/>
                <w:kern w:val="2"/>
                <w:lang w:bidi="ar-SA"/>
              </w:rPr>
              <w:t>、</w:t>
            </w:r>
            <w:r>
              <w:rPr>
                <w:rFonts w:hint="eastAsia" w:eastAsia="新宋体"/>
                <w:szCs w:val="21"/>
              </w:rPr>
              <w:t>卡塔尔控股有限公司（“</w:t>
            </w:r>
            <w:r>
              <w:rPr>
                <w:rFonts w:hint="eastAsia" w:eastAsia="新宋体"/>
                <w:b/>
                <w:bCs/>
                <w:szCs w:val="21"/>
              </w:rPr>
              <w:t>卡塔尔控股</w:t>
            </w:r>
            <w:r>
              <w:rPr>
                <w:rFonts w:hint="eastAsia" w:eastAsia="新宋体"/>
                <w:szCs w:val="21"/>
              </w:rPr>
              <w:t>”）</w:t>
            </w:r>
            <w:r>
              <w:rPr>
                <w:rFonts w:hint="eastAsia" w:eastAsia="新宋体"/>
                <w:szCs w:val="21"/>
                <w:lang w:eastAsia="zh-CN"/>
              </w:rPr>
              <w:t>、</w:t>
            </w:r>
            <w:bookmarkStart w:id="1" w:name="_GoBack"/>
            <w:bookmarkEnd w:id="1"/>
            <w:r>
              <w:rPr>
                <w:rFonts w:hint="eastAsia" w:eastAsia="新宋体"/>
                <w:szCs w:val="21"/>
              </w:rPr>
              <w:t>魁北克储蓄投资集团和新加坡政府投资公司（两者联合）</w:t>
            </w:r>
            <w:r>
              <w:rPr>
                <w:kern w:val="2"/>
                <w:lang w:bidi="ar-SA"/>
              </w:rPr>
              <w:t>共同控制。</w:t>
            </w:r>
            <w:r>
              <w:rPr>
                <w:rFonts w:hint="eastAsia"/>
                <w:kern w:val="2"/>
                <w:lang w:bidi="ar-SA"/>
              </w:rPr>
              <w:t>本</w:t>
            </w:r>
            <w:r>
              <w:rPr>
                <w:kern w:val="2"/>
                <w:lang w:bidi="ar-SA"/>
              </w:rPr>
              <w:t>交易</w:t>
            </w:r>
            <w:r>
              <w:rPr>
                <w:rFonts w:hint="eastAsia"/>
                <w:kern w:val="2"/>
                <w:lang w:bidi="ar-SA"/>
              </w:rPr>
              <w:t>完成后，</w:t>
            </w:r>
            <w:r>
              <w:rPr>
                <w:kern w:val="2"/>
                <w:lang w:bidi="ar-SA"/>
              </w:rPr>
              <w:t>目标公司将由Ardian和</w:t>
            </w:r>
            <w:r>
              <w:rPr>
                <w:rFonts w:hint="eastAsia"/>
                <w:kern w:val="2"/>
                <w:lang w:bidi="ar-SA"/>
              </w:rPr>
              <w:t>卡塔尔控股</w:t>
            </w:r>
            <w:r>
              <w:rPr>
                <w:kern w:val="2"/>
                <w:lang w:bidi="ar-SA"/>
              </w:rPr>
              <w:t>共同控制。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bCs/>
                <w:kern w:val="2"/>
                <w:lang w:bidi="ar-SA"/>
              </w:rPr>
            </w:pPr>
            <w:r>
              <w:rPr>
                <w:kern w:val="2"/>
                <w:lang w:bidi="ar-SA"/>
              </w:rPr>
              <w:t>1.Ardian</w:t>
            </w:r>
          </w:p>
        </w:tc>
        <w:tc>
          <w:tcPr>
            <w:tcW w:w="6093" w:type="dxa"/>
          </w:tcPr>
          <w:p>
            <w:pPr>
              <w:widowControl w:val="0"/>
              <w:rPr>
                <w:kern w:val="2"/>
              </w:rPr>
            </w:pPr>
            <w:r>
              <w:rPr>
                <w:rFonts w:hint="eastAsia"/>
                <w:kern w:val="2"/>
                <w:lang w:bidi="ar-SA"/>
              </w:rPr>
              <w:t>Ardian</w:t>
            </w:r>
            <w:r>
              <w:rPr>
                <w:kern w:val="2"/>
                <w:lang w:bidi="ar-SA"/>
              </w:rPr>
              <w:t>于</w:t>
            </w:r>
            <w:r>
              <w:rPr>
                <w:rFonts w:hint="eastAsia"/>
                <w:kern w:val="2"/>
                <w:lang w:bidi="ar-SA"/>
              </w:rPr>
              <w:t>1995年12月27日在法国巴黎</w:t>
            </w:r>
            <w:r>
              <w:rPr>
                <w:kern w:val="2"/>
                <w:lang w:bidi="ar-SA"/>
              </w:rPr>
              <w:t>成立，</w:t>
            </w:r>
            <w:r>
              <w:rPr>
                <w:rFonts w:hint="eastAsia"/>
                <w:kern w:val="2"/>
                <w:lang w:bidi="ar-SA"/>
              </w:rPr>
              <w:t>是一家</w:t>
            </w:r>
            <w:r>
              <w:rPr>
                <w:kern w:val="2"/>
                <w:lang w:bidi="ar-SA"/>
              </w:rPr>
              <w:t>为投资基金提供投资管理服务的私募股权公司。</w:t>
            </w:r>
          </w:p>
          <w:p>
            <w:pPr>
              <w:widowControl w:val="0"/>
              <w:rPr>
                <w:kern w:val="2"/>
              </w:rPr>
            </w:pPr>
            <w:r>
              <w:rPr>
                <w:kern w:val="2"/>
                <w:lang w:bidi="ar-SA"/>
              </w:rPr>
              <w:t>Ardian的最终控制人是Ardian</w:t>
            </w:r>
            <w:r>
              <w:rPr>
                <w:rFonts w:hint="eastAsia"/>
                <w:kern w:val="2"/>
                <w:lang w:bidi="ar-SA"/>
              </w:rPr>
              <w:t>控股简化股份有限公司</w:t>
            </w:r>
            <w:r>
              <w:rPr>
                <w:kern w:val="2"/>
                <w:lang w:bidi="ar-SA"/>
              </w:rPr>
              <w:t>，</w:t>
            </w:r>
            <w:r>
              <w:rPr>
                <w:rFonts w:hint="eastAsia"/>
                <w:kern w:val="2"/>
                <w:lang w:bidi="ar-SA"/>
              </w:rPr>
              <w:t>其作为</w:t>
            </w:r>
            <w:r>
              <w:rPr>
                <w:kern w:val="2"/>
                <w:lang w:bidi="ar-SA"/>
              </w:rPr>
              <w:t>Ardian的控股公司</w:t>
            </w:r>
            <w:r>
              <w:rPr>
                <w:rFonts w:hint="eastAsia"/>
                <w:kern w:val="2"/>
                <w:lang w:bidi="ar-SA"/>
              </w:rPr>
              <w:t>并</w:t>
            </w:r>
            <w:r>
              <w:rPr>
                <w:kern w:val="2"/>
                <w:lang w:bidi="ar-SA"/>
              </w:rPr>
              <w:t>从事投资控股业务</w:t>
            </w:r>
            <w:r>
              <w:rPr>
                <w:rFonts w:hint="eastAsia"/>
                <w:kern w:val="2"/>
                <w:lang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kern w:val="2"/>
                <w:lang w:bidi="ar-SA"/>
              </w:rPr>
              <w:t>2.</w:t>
            </w:r>
            <w:r>
              <w:rPr>
                <w:rFonts w:hint="eastAsia"/>
                <w:kern w:val="2"/>
                <w:lang w:bidi="ar-SA"/>
              </w:rPr>
              <w:t>卡塔尔控股</w:t>
            </w:r>
          </w:p>
        </w:tc>
        <w:tc>
          <w:tcPr>
            <w:tcW w:w="6093" w:type="dxa"/>
          </w:tcPr>
          <w:p>
            <w:pPr>
              <w:widowControl w:val="0"/>
              <w:rPr>
                <w:kern w:val="2"/>
              </w:rPr>
            </w:pPr>
            <w:r>
              <w:rPr>
                <w:rFonts w:hint="eastAsia"/>
                <w:kern w:val="2"/>
                <w:lang w:bidi="ar-SA"/>
              </w:rPr>
              <w:t>卡塔尔控股</w:t>
            </w:r>
            <w:r>
              <w:rPr>
                <w:kern w:val="2"/>
                <w:lang w:bidi="ar-SA"/>
              </w:rPr>
              <w:t>于2006年4月4日在卡塔尔成立</w:t>
            </w:r>
            <w:r>
              <w:rPr>
                <w:rFonts w:hint="eastAsia"/>
                <w:kern w:val="2"/>
                <w:lang w:bidi="ar-SA"/>
              </w:rPr>
              <w:t>，</w:t>
            </w:r>
            <w:r>
              <w:rPr>
                <w:kern w:val="2"/>
                <w:lang w:bidi="ar-SA"/>
              </w:rPr>
              <w:t>是一家由卡塔尔投资局创立的全球投资控股公司</w:t>
            </w:r>
            <w:r>
              <w:rPr>
                <w:rFonts w:hint="eastAsia"/>
                <w:kern w:val="2"/>
                <w:lang w:bidi="ar-SA"/>
              </w:rPr>
              <w:t>，其在国际上进行战略性私募和公共股权投资以及其他直接投资</w:t>
            </w:r>
            <w:r>
              <w:rPr>
                <w:kern w:val="2"/>
                <w:lang w:bidi="ar-SA"/>
              </w:rPr>
              <w:t xml:space="preserve">。 </w:t>
            </w:r>
          </w:p>
          <w:p>
            <w:pPr>
              <w:widowControl w:val="0"/>
              <w:rPr>
                <w:kern w:val="2"/>
              </w:rPr>
            </w:pPr>
            <w:r>
              <w:rPr>
                <w:rFonts w:hint="eastAsia"/>
                <w:kern w:val="2"/>
                <w:lang w:bidi="ar-SA"/>
              </w:rPr>
              <w:t>卡塔尔控股的最终控制人是卡塔尔投资局。卡塔尔投资局是卡塔尔国的主权财富基金，其投资覆盖了全球主要的市场、资产类别、行业和地区。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pStyle w:val="5"/>
              <w:adjustRightInd w:val="0"/>
              <w:snapToGrid w:val="0"/>
              <w:spacing w:after="0"/>
            </w:pPr>
            <w:r>
              <w:rPr>
                <w:kern w:val="2"/>
                <w:lang w:bidi="ar-SA"/>
              </w:rPr>
              <w:t>3.目标</w:t>
            </w:r>
            <w:r>
              <w:rPr>
                <w:rFonts w:hint="eastAsia"/>
                <w:kern w:val="2"/>
                <w:lang w:eastAsia="zh-CN" w:bidi="ar-SA"/>
              </w:rPr>
              <w:t>公司</w:t>
            </w:r>
          </w:p>
        </w:tc>
        <w:tc>
          <w:tcPr>
            <w:tcW w:w="6093" w:type="dxa"/>
          </w:tcPr>
          <w:p>
            <w:pPr>
              <w:widowControl w:val="0"/>
              <w:rPr>
                <w:kern w:val="2"/>
              </w:rPr>
            </w:pPr>
            <w:r>
              <w:rPr>
                <w:kern w:val="2"/>
                <w:lang w:bidi="ar-SA"/>
              </w:rPr>
              <w:t>目标</w:t>
            </w:r>
            <w:r>
              <w:rPr>
                <w:rFonts w:hint="eastAsia"/>
                <w:kern w:val="2"/>
                <w:lang w:bidi="ar-SA"/>
              </w:rPr>
              <w:t>公司</w:t>
            </w:r>
            <w:r>
              <w:rPr>
                <w:kern w:val="2"/>
                <w:lang w:bidi="ar-SA"/>
              </w:rPr>
              <w:t>于2006年2月28日在英国成立</w:t>
            </w:r>
            <w:r>
              <w:rPr>
                <w:rFonts w:hint="eastAsia"/>
                <w:kern w:val="2"/>
                <w:lang w:bidi="ar-SA"/>
              </w:rPr>
              <w:t>，</w:t>
            </w:r>
            <w:r>
              <w:rPr>
                <w:kern w:val="2"/>
                <w:lang w:bidi="ar-SA"/>
              </w:rPr>
              <w:t>负责管理和维护希思罗机场</w:t>
            </w:r>
            <w:r>
              <w:rPr>
                <w:rFonts w:hint="eastAsia"/>
                <w:kern w:val="2"/>
                <w:lang w:bidi="ar-SA"/>
              </w:rPr>
              <w:t>的</w:t>
            </w:r>
            <w:r>
              <w:rPr>
                <w:kern w:val="2"/>
                <w:lang w:bidi="ar-SA"/>
              </w:rPr>
              <w:t>跑道、航站楼、行李系统和其他机场设施。</w:t>
            </w:r>
          </w:p>
          <w:p>
            <w:pPr>
              <w:widowControl w:val="0"/>
              <w:rPr>
                <w:kern w:val="2"/>
              </w:rPr>
            </w:pPr>
            <w:r>
              <w:rPr>
                <w:kern w:val="2"/>
                <w:lang w:bidi="ar-SA"/>
              </w:rPr>
              <w:t>目标</w:t>
            </w:r>
            <w:r>
              <w:rPr>
                <w:rFonts w:hint="eastAsia"/>
                <w:kern w:val="2"/>
                <w:lang w:bidi="ar-SA"/>
              </w:rPr>
              <w:t>公司的</w:t>
            </w:r>
            <w:r>
              <w:rPr>
                <w:kern w:val="2"/>
                <w:lang w:bidi="ar-SA"/>
              </w:rPr>
              <w:t>最终控制人</w:t>
            </w:r>
            <w:r>
              <w:rPr>
                <w:rFonts w:hint="eastAsia"/>
                <w:kern w:val="2"/>
                <w:lang w:bidi="ar-SA"/>
              </w:rPr>
              <w:t>是</w:t>
            </w:r>
            <w:r>
              <w:rPr>
                <w:kern w:val="2"/>
                <w:lang w:bidi="ar-SA"/>
              </w:rPr>
              <w:t>Ferrovial</w:t>
            </w:r>
            <w:r>
              <w:rPr>
                <w:rFonts w:hint="eastAsia" w:eastAsia="新宋体"/>
                <w:bCs/>
                <w:szCs w:val="21"/>
              </w:rPr>
              <w:t>欧洲公司</w:t>
            </w:r>
            <w:r>
              <w:rPr>
                <w:rFonts w:hint="eastAsia"/>
                <w:kern w:val="2"/>
                <w:lang w:bidi="ar-SA"/>
              </w:rPr>
              <w:t>、卡塔尔投资局</w:t>
            </w:r>
            <w:r>
              <w:rPr>
                <w:rFonts w:hint="eastAsia" w:eastAsia="新宋体"/>
                <w:szCs w:val="21"/>
              </w:rPr>
              <w:t>、魁北克储蓄投资集团和新加坡政府投资公司</w:t>
            </w:r>
            <w:r>
              <w:rPr>
                <w:kern w:val="2"/>
                <w:lang w:bidi="ar-SA"/>
              </w:rPr>
              <w:t>。Ferrovial</w:t>
            </w:r>
            <w:r>
              <w:rPr>
                <w:rFonts w:hint="eastAsia"/>
                <w:kern w:val="2"/>
                <w:lang w:bidi="ar-SA"/>
              </w:rPr>
              <w:t>欧洲公司通过高速公路、机场、建筑和能源四条业务线为社会开发大型可持续项目。魁北克储蓄投资集团是管理其存款人资金的全球投资集团，在全球范围内投资股票、固定收益和实物资产三大主要资产类别。新加坡政府投资公司是成立于1981年的全球长期投资者，负责管理新加坡的外汇储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不适用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150B7"/>
    <w:rsid w:val="00021AB2"/>
    <w:rsid w:val="000326C8"/>
    <w:rsid w:val="0003355C"/>
    <w:rsid w:val="00041C40"/>
    <w:rsid w:val="0004292A"/>
    <w:rsid w:val="00043061"/>
    <w:rsid w:val="000467AA"/>
    <w:rsid w:val="00062616"/>
    <w:rsid w:val="00063F74"/>
    <w:rsid w:val="000719AE"/>
    <w:rsid w:val="00073E6B"/>
    <w:rsid w:val="0007723F"/>
    <w:rsid w:val="00077D60"/>
    <w:rsid w:val="00083590"/>
    <w:rsid w:val="00092F4E"/>
    <w:rsid w:val="0009388A"/>
    <w:rsid w:val="000A1046"/>
    <w:rsid w:val="000A518A"/>
    <w:rsid w:val="000B58E5"/>
    <w:rsid w:val="000B653C"/>
    <w:rsid w:val="000C6953"/>
    <w:rsid w:val="000E29A9"/>
    <w:rsid w:val="000E3A81"/>
    <w:rsid w:val="00107E19"/>
    <w:rsid w:val="00115F62"/>
    <w:rsid w:val="00123E26"/>
    <w:rsid w:val="0013699E"/>
    <w:rsid w:val="00145B05"/>
    <w:rsid w:val="00160777"/>
    <w:rsid w:val="001639D8"/>
    <w:rsid w:val="00186A05"/>
    <w:rsid w:val="001965E2"/>
    <w:rsid w:val="001B4EA1"/>
    <w:rsid w:val="001C5840"/>
    <w:rsid w:val="001D1555"/>
    <w:rsid w:val="001D6168"/>
    <w:rsid w:val="001E0F1F"/>
    <w:rsid w:val="001F346E"/>
    <w:rsid w:val="001F35AA"/>
    <w:rsid w:val="001F367B"/>
    <w:rsid w:val="001F601E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71A7B"/>
    <w:rsid w:val="00287E91"/>
    <w:rsid w:val="00291652"/>
    <w:rsid w:val="002964A1"/>
    <w:rsid w:val="002A25F2"/>
    <w:rsid w:val="002A7C26"/>
    <w:rsid w:val="002C0E17"/>
    <w:rsid w:val="002D5878"/>
    <w:rsid w:val="002F09A7"/>
    <w:rsid w:val="002F5271"/>
    <w:rsid w:val="00306B88"/>
    <w:rsid w:val="00310488"/>
    <w:rsid w:val="00311263"/>
    <w:rsid w:val="0034107F"/>
    <w:rsid w:val="003438C6"/>
    <w:rsid w:val="00344D27"/>
    <w:rsid w:val="0035604C"/>
    <w:rsid w:val="00371332"/>
    <w:rsid w:val="003850D4"/>
    <w:rsid w:val="00385F00"/>
    <w:rsid w:val="003866EF"/>
    <w:rsid w:val="0039632E"/>
    <w:rsid w:val="003A4565"/>
    <w:rsid w:val="003B27EC"/>
    <w:rsid w:val="003B2A8B"/>
    <w:rsid w:val="003B2F86"/>
    <w:rsid w:val="003B4439"/>
    <w:rsid w:val="003B4C9E"/>
    <w:rsid w:val="003B7CBC"/>
    <w:rsid w:val="003C3456"/>
    <w:rsid w:val="003C7424"/>
    <w:rsid w:val="003C77D3"/>
    <w:rsid w:val="003E3B57"/>
    <w:rsid w:val="003E6077"/>
    <w:rsid w:val="003E73DB"/>
    <w:rsid w:val="0040563D"/>
    <w:rsid w:val="00410914"/>
    <w:rsid w:val="004119F5"/>
    <w:rsid w:val="004166B2"/>
    <w:rsid w:val="004203EF"/>
    <w:rsid w:val="00427E52"/>
    <w:rsid w:val="00433451"/>
    <w:rsid w:val="00446353"/>
    <w:rsid w:val="0044739B"/>
    <w:rsid w:val="00467A6B"/>
    <w:rsid w:val="0049707A"/>
    <w:rsid w:val="004973DB"/>
    <w:rsid w:val="0049771A"/>
    <w:rsid w:val="004A4BF1"/>
    <w:rsid w:val="004B3E6D"/>
    <w:rsid w:val="004C3420"/>
    <w:rsid w:val="004D018B"/>
    <w:rsid w:val="004D124C"/>
    <w:rsid w:val="004D4435"/>
    <w:rsid w:val="00512A53"/>
    <w:rsid w:val="00523905"/>
    <w:rsid w:val="005251B9"/>
    <w:rsid w:val="00530BB4"/>
    <w:rsid w:val="00536721"/>
    <w:rsid w:val="00545A47"/>
    <w:rsid w:val="0057200D"/>
    <w:rsid w:val="00591CEC"/>
    <w:rsid w:val="005942C4"/>
    <w:rsid w:val="005B0CEB"/>
    <w:rsid w:val="005B18A3"/>
    <w:rsid w:val="005D277C"/>
    <w:rsid w:val="005D6D17"/>
    <w:rsid w:val="005E129B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2551C"/>
    <w:rsid w:val="00632159"/>
    <w:rsid w:val="00636DE9"/>
    <w:rsid w:val="00645B6A"/>
    <w:rsid w:val="00655225"/>
    <w:rsid w:val="00655730"/>
    <w:rsid w:val="00660BA3"/>
    <w:rsid w:val="006623C8"/>
    <w:rsid w:val="00662D37"/>
    <w:rsid w:val="00664174"/>
    <w:rsid w:val="006643EA"/>
    <w:rsid w:val="00672AE7"/>
    <w:rsid w:val="00673080"/>
    <w:rsid w:val="0067348D"/>
    <w:rsid w:val="006745A9"/>
    <w:rsid w:val="00682729"/>
    <w:rsid w:val="00683338"/>
    <w:rsid w:val="006A68C6"/>
    <w:rsid w:val="006B4541"/>
    <w:rsid w:val="006D1E2B"/>
    <w:rsid w:val="006E0D98"/>
    <w:rsid w:val="006E3180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73F0"/>
    <w:rsid w:val="0074025C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D2070"/>
    <w:rsid w:val="007E2608"/>
    <w:rsid w:val="007F1726"/>
    <w:rsid w:val="007F6580"/>
    <w:rsid w:val="0080200E"/>
    <w:rsid w:val="00803A33"/>
    <w:rsid w:val="008051ED"/>
    <w:rsid w:val="00811775"/>
    <w:rsid w:val="008248B2"/>
    <w:rsid w:val="00834D88"/>
    <w:rsid w:val="00864085"/>
    <w:rsid w:val="008803D0"/>
    <w:rsid w:val="00880F24"/>
    <w:rsid w:val="008836AF"/>
    <w:rsid w:val="00885C9B"/>
    <w:rsid w:val="00892755"/>
    <w:rsid w:val="00893879"/>
    <w:rsid w:val="008A4282"/>
    <w:rsid w:val="008B2172"/>
    <w:rsid w:val="008C285C"/>
    <w:rsid w:val="008D4ED8"/>
    <w:rsid w:val="008D644E"/>
    <w:rsid w:val="008E00B0"/>
    <w:rsid w:val="008E5BCA"/>
    <w:rsid w:val="008E7F34"/>
    <w:rsid w:val="009022B0"/>
    <w:rsid w:val="00905935"/>
    <w:rsid w:val="00905F4A"/>
    <w:rsid w:val="009145E4"/>
    <w:rsid w:val="00917370"/>
    <w:rsid w:val="009301D9"/>
    <w:rsid w:val="0094346F"/>
    <w:rsid w:val="00953187"/>
    <w:rsid w:val="009551E9"/>
    <w:rsid w:val="0096333E"/>
    <w:rsid w:val="009668EC"/>
    <w:rsid w:val="00977C3B"/>
    <w:rsid w:val="0098374E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9F3510"/>
    <w:rsid w:val="00A05705"/>
    <w:rsid w:val="00A16F03"/>
    <w:rsid w:val="00A21136"/>
    <w:rsid w:val="00A25020"/>
    <w:rsid w:val="00A3046E"/>
    <w:rsid w:val="00A3323A"/>
    <w:rsid w:val="00A46C66"/>
    <w:rsid w:val="00A46FAF"/>
    <w:rsid w:val="00A5674A"/>
    <w:rsid w:val="00A623EF"/>
    <w:rsid w:val="00A64A6E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6C1E"/>
    <w:rsid w:val="00AC12F0"/>
    <w:rsid w:val="00AC3273"/>
    <w:rsid w:val="00AC68C4"/>
    <w:rsid w:val="00AD310D"/>
    <w:rsid w:val="00AD3D4D"/>
    <w:rsid w:val="00AD584D"/>
    <w:rsid w:val="00AE4069"/>
    <w:rsid w:val="00AE7916"/>
    <w:rsid w:val="00AF09EA"/>
    <w:rsid w:val="00AF0E77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735FF"/>
    <w:rsid w:val="00B80B9E"/>
    <w:rsid w:val="00B80E1C"/>
    <w:rsid w:val="00B838DA"/>
    <w:rsid w:val="00B86E3A"/>
    <w:rsid w:val="00B91006"/>
    <w:rsid w:val="00BA017F"/>
    <w:rsid w:val="00BD535F"/>
    <w:rsid w:val="00BE6E64"/>
    <w:rsid w:val="00BF31B7"/>
    <w:rsid w:val="00BF4F99"/>
    <w:rsid w:val="00C0560E"/>
    <w:rsid w:val="00C07CA9"/>
    <w:rsid w:val="00C10048"/>
    <w:rsid w:val="00C226A1"/>
    <w:rsid w:val="00C30E9B"/>
    <w:rsid w:val="00C424FC"/>
    <w:rsid w:val="00C45D6E"/>
    <w:rsid w:val="00C47B78"/>
    <w:rsid w:val="00C51ECC"/>
    <w:rsid w:val="00C600D9"/>
    <w:rsid w:val="00C67ADA"/>
    <w:rsid w:val="00C727BD"/>
    <w:rsid w:val="00C810E8"/>
    <w:rsid w:val="00C847C2"/>
    <w:rsid w:val="00C85BD6"/>
    <w:rsid w:val="00CA6613"/>
    <w:rsid w:val="00CC5292"/>
    <w:rsid w:val="00CC69AD"/>
    <w:rsid w:val="00CD49FB"/>
    <w:rsid w:val="00CF1664"/>
    <w:rsid w:val="00CF5A8A"/>
    <w:rsid w:val="00D01278"/>
    <w:rsid w:val="00D12AB1"/>
    <w:rsid w:val="00D15678"/>
    <w:rsid w:val="00D23B36"/>
    <w:rsid w:val="00D27AEB"/>
    <w:rsid w:val="00D53BAE"/>
    <w:rsid w:val="00D565B5"/>
    <w:rsid w:val="00D57DBA"/>
    <w:rsid w:val="00D57EBC"/>
    <w:rsid w:val="00D71F76"/>
    <w:rsid w:val="00D75A0C"/>
    <w:rsid w:val="00D77095"/>
    <w:rsid w:val="00D80573"/>
    <w:rsid w:val="00D915FD"/>
    <w:rsid w:val="00D94BB1"/>
    <w:rsid w:val="00D961C9"/>
    <w:rsid w:val="00D97B80"/>
    <w:rsid w:val="00DA1D73"/>
    <w:rsid w:val="00DA6F60"/>
    <w:rsid w:val="00DB2761"/>
    <w:rsid w:val="00DB2FF6"/>
    <w:rsid w:val="00DC4D20"/>
    <w:rsid w:val="00DD0E0C"/>
    <w:rsid w:val="00DD10B0"/>
    <w:rsid w:val="00DD7765"/>
    <w:rsid w:val="00DE522D"/>
    <w:rsid w:val="00DF0186"/>
    <w:rsid w:val="00E23955"/>
    <w:rsid w:val="00E417DF"/>
    <w:rsid w:val="00E44A74"/>
    <w:rsid w:val="00E47327"/>
    <w:rsid w:val="00E65CBB"/>
    <w:rsid w:val="00E70392"/>
    <w:rsid w:val="00E7385D"/>
    <w:rsid w:val="00E824F1"/>
    <w:rsid w:val="00E86579"/>
    <w:rsid w:val="00E90A19"/>
    <w:rsid w:val="00E974F8"/>
    <w:rsid w:val="00EA1A6E"/>
    <w:rsid w:val="00EA5C40"/>
    <w:rsid w:val="00EA79DA"/>
    <w:rsid w:val="00EC1D5E"/>
    <w:rsid w:val="00EC636E"/>
    <w:rsid w:val="00EC7E55"/>
    <w:rsid w:val="00ED05B7"/>
    <w:rsid w:val="00ED6F93"/>
    <w:rsid w:val="00EE7CB8"/>
    <w:rsid w:val="00EF16FB"/>
    <w:rsid w:val="00F02216"/>
    <w:rsid w:val="00F0291C"/>
    <w:rsid w:val="00F02E49"/>
    <w:rsid w:val="00F101DD"/>
    <w:rsid w:val="00F14193"/>
    <w:rsid w:val="00F14D59"/>
    <w:rsid w:val="00F20CCE"/>
    <w:rsid w:val="00F21010"/>
    <w:rsid w:val="00F3614E"/>
    <w:rsid w:val="00F56870"/>
    <w:rsid w:val="00F576E0"/>
    <w:rsid w:val="00F62BE1"/>
    <w:rsid w:val="00F6440C"/>
    <w:rsid w:val="00F80928"/>
    <w:rsid w:val="00F901CF"/>
    <w:rsid w:val="00F906EF"/>
    <w:rsid w:val="00F93E0B"/>
    <w:rsid w:val="00FB1907"/>
    <w:rsid w:val="00FB33FD"/>
    <w:rsid w:val="00FB645E"/>
    <w:rsid w:val="00FC35ED"/>
    <w:rsid w:val="00FD1C82"/>
    <w:rsid w:val="00FD6CD9"/>
    <w:rsid w:val="00FE20D9"/>
    <w:rsid w:val="00FE6619"/>
    <w:rsid w:val="00FF146E"/>
    <w:rsid w:val="00FF176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9AC5DB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iPriority="99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paragraph"/>
    <w:basedOn w:val="1"/>
    <w:qFormat/>
    <w:uiPriority w:val="0"/>
    <w:pPr>
      <w:spacing w:before="100" w:beforeAutospacing="1" w:after="100" w:afterAutospacing="1"/>
      <w:jc w:val="left"/>
    </w:pPr>
    <w:rPr>
      <w:rFonts w:eastAsia="Times New Roman"/>
      <w:lang w:val="en-US" w:bidi="ar-SA"/>
    </w:rPr>
  </w:style>
  <w:style w:type="character" w:customStyle="1" w:styleId="332">
    <w:name w:val="normaltextrun"/>
    <w:basedOn w:val="201"/>
    <w:qFormat/>
    <w:uiPriority w:val="0"/>
  </w:style>
  <w:style w:type="character" w:customStyle="1" w:styleId="333">
    <w:name w:val="eop"/>
    <w:basedOn w:val="201"/>
    <w:qFormat/>
    <w:uiPriority w:val="0"/>
  </w:style>
  <w:style w:type="paragraph" w:customStyle="1" w:styleId="334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character" w:styleId="335">
    <w:name w:val="Placeholder Text"/>
    <w:basedOn w:val="201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637</Characters>
  <Lines>49</Lines>
  <Paragraphs>52</Paragraphs>
  <TotalTime>12</TotalTime>
  <ScaleCrop>false</ScaleCrop>
  <LinksUpToDate>false</LinksUpToDate>
  <CharactersWithSpaces>1158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2024-08-09T15:19:00Z</dcterms:created>
  <dc:creator>Xiaodong Liang</dc:creator>
  <cp:lastModifiedBy>scjgj</cp:lastModifiedBy>
  <cp:lastPrinted>2024-08-13T11:04:47Z</cp:lastPrinted>
  <dcterms:modified xsi:type="dcterms:W3CDTF">2024-08-13T11:13:58Z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10290855199-v3</vt:lpwstr>
  </property>
  <property fmtid="{D5CDD505-2E9C-101B-9397-08002B2CF9AE}" pid="3" name="CCMatter">
    <vt:lpwstr>66-41044527</vt:lpwstr>
  </property>
  <property fmtid="{D5CDD505-2E9C-101B-9397-08002B2CF9AE}" pid="4" name="KSOProductBuildVer">
    <vt:lpwstr>2052-11.8.2.10125</vt:lpwstr>
  </property>
</Properties>
</file>