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bCs/>
          <w:sz w:val="36"/>
          <w:szCs w:val="36"/>
        </w:rPr>
      </w:pPr>
      <w:r>
        <w:rPr>
          <w:rFonts w:ascii="黑体" w:hAnsi="黑体" w:eastAsia="黑体"/>
          <w:bCs/>
          <w:sz w:val="36"/>
          <w:szCs w:val="36"/>
        </w:rPr>
        <w:t>经营者集中简易案件公示表</w:t>
      </w:r>
    </w:p>
    <w:p>
      <w:pPr>
        <w:spacing w:line="440" w:lineRule="exact"/>
        <w:jc w:val="center"/>
        <w:rPr>
          <w:rFonts w:ascii="宋体" w:hAnsi="宋体"/>
          <w:sz w:val="24"/>
          <w:szCs w:val="28"/>
        </w:rPr>
      </w:pP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239"/>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shd w:val="clear" w:color="auto" w:fill="D9D9D9"/>
          </w:tcPr>
          <w:p>
            <w:pPr>
              <w:rPr>
                <w:rFonts w:ascii="宋体" w:hAnsi="宋体"/>
                <w:bCs/>
                <w:sz w:val="24"/>
                <w:szCs w:val="24"/>
              </w:rPr>
            </w:pPr>
            <w:r>
              <w:rPr>
                <w:rFonts w:hint="eastAsia" w:ascii="宋体" w:hAnsi="宋体"/>
                <w:bCs/>
                <w:sz w:val="24"/>
                <w:szCs w:val="24"/>
              </w:rPr>
              <w:t>案件名称</w:t>
            </w:r>
          </w:p>
        </w:tc>
        <w:tc>
          <w:tcPr>
            <w:tcW w:w="6725" w:type="dxa"/>
            <w:gridSpan w:val="2"/>
            <w:shd w:val="clear" w:color="auto" w:fill="auto"/>
          </w:tcPr>
          <w:p>
            <w:pPr>
              <w:jc w:val="left"/>
              <w:rPr>
                <w:rFonts w:ascii="宋体" w:hAnsi="宋体"/>
                <w:bCs/>
                <w:sz w:val="24"/>
                <w:szCs w:val="24"/>
              </w:rPr>
            </w:pPr>
            <w:r>
              <w:rPr>
                <w:rFonts w:hint="eastAsia" w:ascii="宋体" w:hAnsi="宋体"/>
                <w:bCs/>
                <w:color w:val="000000" w:themeColor="text1"/>
                <w:sz w:val="24"/>
                <w:szCs w:val="24"/>
                <w14:textFill>
                  <w14:solidFill>
                    <w14:schemeClr w14:val="tx1"/>
                  </w14:solidFill>
                </w14:textFill>
              </w:rPr>
              <w:t>申万宏源创新（北京）私募基金管理有限公司收购上海联东金念投资有限公司等两家公司股权案（“本次交易”）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033" w:type="dxa"/>
            <w:shd w:val="clear" w:color="auto" w:fill="D9D9D9"/>
          </w:tcPr>
          <w:p>
            <w:pPr>
              <w:jc w:val="left"/>
              <w:rPr>
                <w:rFonts w:ascii="宋体" w:hAnsi="宋体"/>
                <w:bCs/>
                <w:sz w:val="24"/>
                <w:szCs w:val="24"/>
              </w:rPr>
            </w:pPr>
            <w:r>
              <w:rPr>
                <w:rFonts w:hint="eastAsia" w:ascii="宋体" w:hAnsi="宋体"/>
                <w:bCs/>
                <w:sz w:val="24"/>
                <w:szCs w:val="24"/>
              </w:rPr>
              <w:t>交易概况（限200字内）</w:t>
            </w:r>
          </w:p>
        </w:tc>
        <w:tc>
          <w:tcPr>
            <w:tcW w:w="6725" w:type="dxa"/>
            <w:gridSpan w:val="2"/>
            <w:shd w:val="clear" w:color="auto" w:fill="auto"/>
          </w:tcPr>
          <w:p>
            <w:pP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申万宏源创新（北京）私募基金管理有限公司（“申宏创新”）及其关联实体和北京联东投资（集团）有限公司（“联东集团”）关联实体签署一系列交易协议，申宏创新和联东集团拟通过共同控制的合营基金收购上海联东金念投资有限公司及成都联东天府实业有限公司（合称为“目标公司”）99%股权。目标公司主要在上海市、成都市从事产业园地产开发与运营业务。交易前，联东集团间接持有目标公司100%股权，单独控制目标公司。交易后，申宏创新和联东集团将共同控制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33" w:type="dxa"/>
            <w:vMerge w:val="restart"/>
            <w:shd w:val="clear" w:color="auto" w:fill="D9D9D9"/>
          </w:tcPr>
          <w:p>
            <w:pPr>
              <w:jc w:val="left"/>
              <w:rPr>
                <w:rFonts w:ascii="宋体" w:hAnsi="宋体"/>
                <w:bCs/>
                <w:sz w:val="24"/>
                <w:szCs w:val="24"/>
              </w:rPr>
            </w:pPr>
            <w:r>
              <w:rPr>
                <w:rFonts w:hint="eastAsia" w:ascii="宋体" w:hAnsi="宋体"/>
                <w:bCs/>
                <w:sz w:val="24"/>
                <w:szCs w:val="24"/>
              </w:rPr>
              <w:t>参与集中的经营者简介</w:t>
            </w:r>
          </w:p>
        </w:tc>
        <w:tc>
          <w:tcPr>
            <w:tcW w:w="2239" w:type="dxa"/>
            <w:shd w:val="clear" w:color="auto" w:fill="auto"/>
          </w:tcPr>
          <w:p>
            <w:pPr>
              <w:numPr>
                <w:ilvl w:val="0"/>
                <w:numId w:val="1"/>
              </w:numPr>
              <w:rPr>
                <w:rFonts w:ascii="宋体" w:hAnsi="宋体"/>
                <w:bCs/>
                <w:sz w:val="24"/>
                <w:szCs w:val="24"/>
              </w:rPr>
            </w:pPr>
            <w:r>
              <w:rPr>
                <w:rFonts w:hint="eastAsia" w:ascii="宋体" w:hAnsi="宋体"/>
                <w:bCs/>
                <w:sz w:val="24"/>
                <w:szCs w:val="24"/>
              </w:rPr>
              <w:t>申宏创新</w:t>
            </w:r>
          </w:p>
        </w:tc>
        <w:tc>
          <w:tcPr>
            <w:tcW w:w="4486" w:type="dxa"/>
            <w:shd w:val="clear" w:color="auto" w:fill="auto"/>
          </w:tcPr>
          <w:p>
            <w:pPr>
              <w:rPr>
                <w:rFonts w:ascii="宋体" w:hAnsi="宋体"/>
                <w:bCs/>
                <w:color w:val="000000" w:themeColor="text1"/>
                <w:sz w:val="24"/>
                <w:szCs w:val="24"/>
                <w:lang w:val="en-SG"/>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申宏创新2014年7月18日成立于北京市，主要从事股权类私募基金管理业务</w:t>
            </w:r>
            <w:r>
              <w:rPr>
                <w:rFonts w:hint="eastAsia" w:ascii="宋体" w:hAnsi="宋体"/>
                <w:bCs/>
                <w:color w:val="000000" w:themeColor="text1"/>
                <w:sz w:val="24"/>
                <w:szCs w:val="24"/>
                <w:lang w:val="en-SG"/>
                <w14:textFill>
                  <w14:solidFill>
                    <w14:schemeClr w14:val="tx1"/>
                  </w14:solidFill>
                </w14:textFill>
              </w:rPr>
              <w:t>。</w:t>
            </w:r>
          </w:p>
          <w:p>
            <w:pP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SG"/>
                <w14:textFill>
                  <w14:solidFill>
                    <w14:schemeClr w14:val="tx1"/>
                  </w14:solidFill>
                </w14:textFill>
              </w:rPr>
              <w:t>申宏创新最终控制人为申万宏源集团股份有限公司，主要业务为企业金融、个人金融、机构服务及交易及投资管理。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33" w:type="dxa"/>
            <w:vMerge w:val="continue"/>
            <w:shd w:val="clear" w:color="auto" w:fill="D9D9D9"/>
          </w:tcPr>
          <w:p>
            <w:pPr>
              <w:jc w:val="left"/>
              <w:rPr>
                <w:rFonts w:ascii="宋体" w:hAnsi="宋体"/>
                <w:bCs/>
                <w:sz w:val="24"/>
                <w:szCs w:val="24"/>
              </w:rPr>
            </w:pPr>
          </w:p>
        </w:tc>
        <w:tc>
          <w:tcPr>
            <w:tcW w:w="2239" w:type="dxa"/>
            <w:shd w:val="clear" w:color="auto" w:fill="auto"/>
          </w:tcPr>
          <w:p>
            <w:pPr>
              <w:numPr>
                <w:ilvl w:val="0"/>
                <w:numId w:val="1"/>
              </w:numPr>
              <w:rPr>
                <w:rFonts w:ascii="宋体" w:hAnsi="宋体"/>
                <w:bCs/>
                <w:sz w:val="24"/>
                <w:szCs w:val="24"/>
                <w:lang w:val="en-GB"/>
              </w:rPr>
            </w:pPr>
            <w:r>
              <w:rPr>
                <w:rFonts w:hint="eastAsia" w:ascii="宋体" w:hAnsi="宋体"/>
                <w:bCs/>
                <w:sz w:val="24"/>
                <w:szCs w:val="24"/>
                <w:lang w:val="en-GB"/>
              </w:rPr>
              <w:t>联东集团</w:t>
            </w:r>
          </w:p>
        </w:tc>
        <w:tc>
          <w:tcPr>
            <w:tcW w:w="4486" w:type="dxa"/>
            <w:shd w:val="clear" w:color="auto" w:fill="auto"/>
          </w:tcPr>
          <w:p>
            <w:pPr>
              <w:rPr>
                <w:rFonts w:ascii="宋体" w:hAnsi="宋体"/>
                <w:bCs/>
                <w:sz w:val="24"/>
                <w:szCs w:val="24"/>
                <w:lang w:val="en-GB"/>
              </w:rPr>
            </w:pPr>
            <w:r>
              <w:rPr>
                <w:rFonts w:hint="eastAsia" w:ascii="宋体" w:hAnsi="宋体"/>
                <w:bCs/>
                <w:sz w:val="24"/>
                <w:szCs w:val="24"/>
                <w:lang w:val="en-GB"/>
              </w:rPr>
              <w:t>联东集团2003年6月18日成立于北京市，主要从事</w:t>
            </w:r>
            <w:r>
              <w:rPr>
                <w:rFonts w:hint="eastAsia" w:ascii="宋体" w:hAnsi="宋体"/>
                <w:bCs/>
                <w:color w:val="000000" w:themeColor="text1"/>
                <w:sz w:val="24"/>
                <w:szCs w:val="24"/>
                <w:lang w:val="en-GB"/>
                <w14:textFill>
                  <w14:solidFill>
                    <w14:schemeClr w14:val="tx1"/>
                  </w14:solidFill>
                </w14:textFill>
              </w:rPr>
              <w:t>产业园地产开发与运营，以及产业园物业管理业务</w:t>
            </w:r>
            <w:r>
              <w:rPr>
                <w:rFonts w:hint="eastAsia" w:ascii="宋体" w:hAnsi="宋体"/>
                <w:bCs/>
                <w:sz w:val="24"/>
                <w:szCs w:val="24"/>
                <w:lang w:val="en-GB"/>
              </w:rPr>
              <w:t>。</w:t>
            </w:r>
          </w:p>
          <w:p>
            <w:pPr>
              <w:rPr>
                <w:rFonts w:ascii="宋体" w:hAnsi="宋体"/>
                <w:bCs/>
                <w:sz w:val="24"/>
                <w:szCs w:val="24"/>
              </w:rPr>
            </w:pPr>
            <w:r>
              <w:rPr>
                <w:rFonts w:hint="eastAsia" w:ascii="宋体" w:hAnsi="宋体"/>
                <w:bCs/>
                <w:sz w:val="24"/>
                <w:szCs w:val="24"/>
                <w:lang w:val="en-GB"/>
              </w:rPr>
              <w:t>联东集团最终控制人为中国籍自然人，主要业务为产业园地产开发和运营，以及产业园物业管理服务。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033" w:type="dxa"/>
            <w:vMerge w:val="restart"/>
            <w:shd w:val="clear" w:color="auto" w:fill="D9D9D9"/>
          </w:tcPr>
          <w:p>
            <w:pPr>
              <w:jc w:val="left"/>
              <w:rPr>
                <w:rFonts w:ascii="宋体" w:hAnsi="宋体"/>
                <w:bCs/>
                <w:sz w:val="24"/>
                <w:szCs w:val="24"/>
              </w:rPr>
            </w:pPr>
            <w:r>
              <w:rPr>
                <w:rFonts w:ascii="宋体" w:hAnsi="宋体"/>
                <w:bCs/>
                <w:sz w:val="24"/>
                <w:szCs w:val="24"/>
              </w:rPr>
              <w:t>简易案件理由（可以单选，也可以多选）</w:t>
            </w:r>
          </w:p>
        </w:tc>
        <w:tc>
          <w:tcPr>
            <w:tcW w:w="6725" w:type="dxa"/>
            <w:gridSpan w:val="2"/>
            <w:shd w:val="clear" w:color="auto" w:fill="auto"/>
          </w:tcPr>
          <w:p>
            <w:pPr>
              <w:rPr>
                <w:rFonts w:ascii="宋体" w:hAnsi="宋体"/>
                <w:bCs/>
                <w:sz w:val="24"/>
                <w:szCs w:val="24"/>
              </w:rPr>
            </w:pPr>
            <w:r>
              <w:rPr>
                <w:rFonts w:ascii="宋体" w:hAnsi="宋体"/>
                <w:bCs/>
                <w:sz w:val="24"/>
                <w:szCs w:val="24"/>
              </w:rPr>
              <w:t>□</w:t>
            </w:r>
            <w:r>
              <w:rPr>
                <w:rFonts w:hint="eastAsia" w:ascii="宋体" w:hAnsi="宋体"/>
                <w:bCs/>
                <w:sz w:val="24"/>
                <w:szCs w:val="24"/>
              </w:rPr>
              <w:t xml:space="preserve"> </w:t>
            </w:r>
            <w:r>
              <w:rPr>
                <w:rFonts w:ascii="宋体" w:hAnsi="宋体"/>
                <w:bCs/>
                <w:sz w:val="24"/>
                <w:szCs w:val="24"/>
              </w:rPr>
              <w:t>1、</w:t>
            </w:r>
            <w:r>
              <w:rPr>
                <w:rFonts w:hint="eastAsia" w:ascii="宋体" w:hAnsi="宋体"/>
                <w:bCs/>
                <w:sz w:val="24"/>
                <w:szCs w:val="24"/>
              </w:rPr>
              <w:t>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3" w:type="dxa"/>
            <w:vMerge w:val="continue"/>
            <w:shd w:val="clear" w:color="auto" w:fill="D9D9D9"/>
          </w:tcPr>
          <w:p>
            <w:pPr>
              <w:rPr>
                <w:rFonts w:ascii="宋体" w:hAnsi="宋体"/>
                <w:bCs/>
                <w:sz w:val="24"/>
                <w:szCs w:val="24"/>
              </w:rPr>
            </w:pPr>
          </w:p>
        </w:tc>
        <w:tc>
          <w:tcPr>
            <w:tcW w:w="6725" w:type="dxa"/>
            <w:gridSpan w:val="2"/>
            <w:shd w:val="clear" w:color="auto" w:fill="auto"/>
          </w:tcPr>
          <w:p>
            <w:pPr>
              <w:rPr>
                <w:rFonts w:ascii="宋体" w:hAnsi="宋体"/>
                <w:bCs/>
                <w:sz w:val="24"/>
                <w:szCs w:val="24"/>
              </w:rPr>
            </w:pPr>
            <w:r>
              <w:rPr>
                <w:rFonts w:ascii="宋体" w:hAnsi="宋体"/>
                <w:bCs/>
                <w:sz w:val="24"/>
                <w:szCs w:val="24"/>
              </w:rPr>
              <w:t>□</w:t>
            </w:r>
            <w:r>
              <w:rPr>
                <w:rFonts w:hint="eastAsia" w:ascii="宋体" w:hAnsi="宋体"/>
                <w:bCs/>
                <w:sz w:val="24"/>
                <w:szCs w:val="24"/>
              </w:rPr>
              <w:t xml:space="preserve"> </w:t>
            </w:r>
            <w:r>
              <w:rPr>
                <w:rFonts w:ascii="宋体" w:hAnsi="宋体"/>
                <w:bCs/>
                <w:sz w:val="24"/>
                <w:szCs w:val="24"/>
              </w:rPr>
              <w:t>2、</w:t>
            </w:r>
            <w:r>
              <w:rPr>
                <w:rFonts w:hint="eastAsia" w:ascii="宋体" w:hAnsi="宋体"/>
                <w:bCs/>
                <w:sz w:val="24"/>
                <w:szCs w:val="24"/>
              </w:rPr>
              <w:t>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3" w:type="dxa"/>
            <w:vMerge w:val="continue"/>
            <w:shd w:val="clear" w:color="auto" w:fill="D9D9D9"/>
          </w:tcPr>
          <w:p>
            <w:pPr>
              <w:rPr>
                <w:rFonts w:ascii="宋体" w:hAnsi="宋体"/>
                <w:bCs/>
                <w:sz w:val="24"/>
                <w:szCs w:val="24"/>
              </w:rPr>
            </w:pPr>
          </w:p>
        </w:tc>
        <w:tc>
          <w:tcPr>
            <w:tcW w:w="6725" w:type="dxa"/>
            <w:gridSpan w:val="2"/>
            <w:shd w:val="clear" w:color="auto" w:fill="auto"/>
          </w:tcPr>
          <w:p>
            <w:pPr>
              <w:rPr>
                <w:rFonts w:ascii="宋体" w:hAnsi="宋体"/>
                <w:bCs/>
                <w:sz w:val="24"/>
                <w:szCs w:val="24"/>
              </w:rPr>
            </w:pPr>
            <w:r>
              <w:rPr>
                <w:rFonts w:ascii="宋体" w:hAnsi="宋体"/>
                <w:bCs/>
                <w:sz w:val="24"/>
                <w:szCs w:val="24"/>
              </w:rPr>
              <w:sym w:font="Wingdings" w:char="F0FE"/>
            </w:r>
            <w:r>
              <w:rPr>
                <w:rFonts w:ascii="宋体" w:hAnsi="宋体"/>
                <w:bCs/>
                <w:sz w:val="24"/>
                <w:szCs w:val="24"/>
              </w:rPr>
              <w:t>3、</w:t>
            </w:r>
            <w:r>
              <w:rPr>
                <w:rFonts w:hint="eastAsia" w:ascii="宋体" w:hAnsi="宋体"/>
                <w:bCs/>
                <w:sz w:val="24"/>
                <w:szCs w:val="24"/>
              </w:rPr>
              <w:t>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33" w:type="dxa"/>
            <w:vMerge w:val="continue"/>
            <w:shd w:val="clear" w:color="auto" w:fill="D9D9D9"/>
          </w:tcPr>
          <w:p>
            <w:pPr>
              <w:rPr>
                <w:rFonts w:ascii="宋体" w:hAnsi="宋体"/>
                <w:bCs/>
                <w:sz w:val="24"/>
                <w:szCs w:val="24"/>
              </w:rPr>
            </w:pPr>
          </w:p>
        </w:tc>
        <w:tc>
          <w:tcPr>
            <w:tcW w:w="6725" w:type="dxa"/>
            <w:gridSpan w:val="2"/>
            <w:shd w:val="clear" w:color="auto" w:fill="auto"/>
          </w:tcPr>
          <w:p>
            <w:pPr>
              <w:rPr>
                <w:rFonts w:ascii="宋体" w:hAnsi="宋体"/>
                <w:bCs/>
                <w:sz w:val="24"/>
                <w:szCs w:val="24"/>
              </w:rPr>
            </w:pPr>
            <w:r>
              <w:rPr>
                <w:rFonts w:ascii="宋体" w:hAnsi="宋体"/>
                <w:bCs/>
                <w:sz w:val="24"/>
                <w:szCs w:val="24"/>
              </w:rPr>
              <w:t>□4、</w:t>
            </w:r>
            <w:r>
              <w:rPr>
                <w:rFonts w:hint="eastAsia" w:ascii="宋体" w:hAnsi="宋体"/>
                <w:bCs/>
                <w:sz w:val="24"/>
                <w:szCs w:val="24"/>
              </w:rPr>
              <w:t>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33" w:type="dxa"/>
            <w:vMerge w:val="continue"/>
            <w:shd w:val="clear" w:color="auto" w:fill="D9D9D9"/>
          </w:tcPr>
          <w:p>
            <w:pPr>
              <w:rPr>
                <w:rFonts w:ascii="宋体" w:hAnsi="宋体"/>
                <w:bCs/>
                <w:sz w:val="24"/>
                <w:szCs w:val="24"/>
              </w:rPr>
            </w:pPr>
          </w:p>
        </w:tc>
        <w:tc>
          <w:tcPr>
            <w:tcW w:w="6725" w:type="dxa"/>
            <w:gridSpan w:val="2"/>
            <w:shd w:val="clear" w:color="auto" w:fill="auto"/>
          </w:tcPr>
          <w:p>
            <w:pPr>
              <w:rPr>
                <w:rFonts w:ascii="宋体" w:hAnsi="宋体"/>
                <w:bCs/>
                <w:sz w:val="24"/>
                <w:szCs w:val="24"/>
              </w:rPr>
            </w:pPr>
            <w:r>
              <w:rPr>
                <w:rFonts w:ascii="宋体" w:hAnsi="宋体"/>
                <w:bCs/>
                <w:sz w:val="24"/>
                <w:szCs w:val="24"/>
              </w:rPr>
              <w:t>□5、</w:t>
            </w:r>
            <w:r>
              <w:rPr>
                <w:rFonts w:hint="eastAsia" w:ascii="宋体" w:hAnsi="宋体"/>
                <w:bCs/>
                <w:sz w:val="24"/>
                <w:szCs w:val="24"/>
              </w:rPr>
              <w:t>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3" w:type="dxa"/>
            <w:vMerge w:val="continue"/>
            <w:shd w:val="clear" w:color="auto" w:fill="D9D9D9"/>
          </w:tcPr>
          <w:p>
            <w:pPr>
              <w:rPr>
                <w:rFonts w:ascii="宋体" w:hAnsi="宋体"/>
                <w:bCs/>
                <w:sz w:val="24"/>
                <w:szCs w:val="24"/>
              </w:rPr>
            </w:pPr>
          </w:p>
        </w:tc>
        <w:tc>
          <w:tcPr>
            <w:tcW w:w="6725" w:type="dxa"/>
            <w:gridSpan w:val="2"/>
            <w:shd w:val="clear" w:color="auto" w:fill="auto"/>
          </w:tcPr>
          <w:p>
            <w:pPr>
              <w:rPr>
                <w:rFonts w:ascii="宋体" w:hAnsi="宋体"/>
                <w:bCs/>
                <w:sz w:val="24"/>
                <w:szCs w:val="24"/>
              </w:rPr>
            </w:pPr>
            <w:r>
              <w:rPr>
                <w:rFonts w:ascii="宋体" w:hAnsi="宋体"/>
                <w:bCs/>
                <w:sz w:val="24"/>
                <w:szCs w:val="24"/>
              </w:rPr>
              <w:t>□6、</w:t>
            </w:r>
            <w:r>
              <w:rPr>
                <w:rFonts w:hint="eastAsia" w:ascii="宋体" w:hAnsi="宋体"/>
                <w:bCs/>
                <w:sz w:val="24"/>
                <w:szCs w:val="24"/>
              </w:rPr>
              <w:t>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shd w:val="clear" w:color="auto" w:fill="D9D9D9"/>
          </w:tcPr>
          <w:p>
            <w:pPr>
              <w:rPr>
                <w:rFonts w:ascii="宋体" w:hAnsi="宋体"/>
                <w:bCs/>
                <w:sz w:val="24"/>
                <w:szCs w:val="24"/>
              </w:rPr>
            </w:pPr>
            <w:r>
              <w:rPr>
                <w:rFonts w:ascii="宋体" w:hAnsi="宋体"/>
                <w:bCs/>
                <w:sz w:val="24"/>
                <w:szCs w:val="24"/>
              </w:rPr>
              <w:t>备注</w:t>
            </w:r>
          </w:p>
        </w:tc>
        <w:tc>
          <w:tcPr>
            <w:tcW w:w="6725" w:type="dxa"/>
            <w:gridSpan w:val="2"/>
            <w:shd w:val="clear" w:color="auto" w:fill="auto"/>
          </w:tcPr>
          <w:p>
            <w:pPr>
              <w:rPr>
                <w:rFonts w:ascii="宋体" w:hAnsi="宋体"/>
                <w:b/>
                <w:sz w:val="24"/>
                <w:szCs w:val="24"/>
              </w:rPr>
            </w:pPr>
            <w:r>
              <w:rPr>
                <w:rFonts w:hint="eastAsia" w:ascii="宋体" w:hAnsi="宋体"/>
                <w:b/>
                <w:sz w:val="24"/>
                <w:szCs w:val="24"/>
              </w:rPr>
              <w:t>混合集中：</w:t>
            </w:r>
          </w:p>
          <w:p>
            <w:pPr>
              <w:rPr>
                <w:rFonts w:ascii="宋体" w:hAnsi="宋体"/>
                <w:bCs/>
                <w:sz w:val="24"/>
                <w:szCs w:val="24"/>
              </w:rPr>
            </w:pPr>
            <w:r>
              <w:rPr>
                <w:rFonts w:hint="eastAsia" w:ascii="宋体" w:hAnsi="宋体"/>
                <w:bCs/>
                <w:sz w:val="24"/>
                <w:szCs w:val="24"/>
              </w:rPr>
              <w:t>2023年上海市产业园地产开发和运营市场：</w:t>
            </w:r>
          </w:p>
          <w:p>
            <w:pPr>
              <w:rPr>
                <w:rFonts w:ascii="宋体" w:hAnsi="宋体"/>
                <w:bCs/>
                <w:sz w:val="24"/>
                <w:szCs w:val="24"/>
              </w:rPr>
            </w:pPr>
            <w:r>
              <w:rPr>
                <w:rFonts w:hint="eastAsia" w:ascii="宋体" w:hAnsi="宋体"/>
                <w:bCs/>
                <w:sz w:val="24"/>
                <w:szCs w:val="24"/>
              </w:rPr>
              <w:t>联东集团：</w:t>
            </w:r>
            <w:r>
              <w:rPr>
                <w:rFonts w:ascii="宋体" w:hAnsi="宋体"/>
                <w:bCs/>
                <w:sz w:val="24"/>
                <w:szCs w:val="24"/>
              </w:rPr>
              <w:t>0-5%</w:t>
            </w:r>
          </w:p>
          <w:p>
            <w:pPr>
              <w:rPr>
                <w:rFonts w:ascii="宋体" w:hAnsi="宋体"/>
                <w:bCs/>
                <w:sz w:val="24"/>
                <w:szCs w:val="24"/>
              </w:rPr>
            </w:pPr>
            <w:r>
              <w:rPr>
                <w:rFonts w:hint="eastAsia" w:ascii="宋体" w:hAnsi="宋体"/>
                <w:bCs/>
                <w:sz w:val="24"/>
                <w:szCs w:val="24"/>
              </w:rPr>
              <w:t>2023年成都市产业园地产开发和运营市场：</w:t>
            </w:r>
          </w:p>
          <w:p>
            <w:pPr>
              <w:rPr>
                <w:rFonts w:ascii="宋体" w:hAnsi="宋体"/>
                <w:bCs/>
                <w:sz w:val="24"/>
                <w:szCs w:val="24"/>
              </w:rPr>
            </w:pPr>
            <w:r>
              <w:rPr>
                <w:rFonts w:hint="eastAsia" w:ascii="宋体" w:hAnsi="宋体"/>
                <w:bCs/>
                <w:sz w:val="24"/>
                <w:szCs w:val="24"/>
              </w:rPr>
              <w:t>联东集团：0-5%</w:t>
            </w:r>
            <w:bookmarkStart w:id="0" w:name="_GoBack"/>
            <w:bookmarkEnd w:id="0"/>
          </w:p>
        </w:tc>
      </w:tr>
    </w:tbl>
    <w:p>
      <w:pPr>
        <w:rPr>
          <w:rFonts w:ascii="宋体" w:hAnsi="宋体"/>
          <w:sz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32898"/>
    <w:multiLevelType w:val="multilevel"/>
    <w:tmpl w:val="014328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7C"/>
    <w:rsid w:val="00010A97"/>
    <w:rsid w:val="00014968"/>
    <w:rsid w:val="00022933"/>
    <w:rsid w:val="0004127C"/>
    <w:rsid w:val="00045D7F"/>
    <w:rsid w:val="00087F6B"/>
    <w:rsid w:val="000950A2"/>
    <w:rsid w:val="00126D4C"/>
    <w:rsid w:val="00130EB1"/>
    <w:rsid w:val="00142517"/>
    <w:rsid w:val="001675DF"/>
    <w:rsid w:val="00186BF2"/>
    <w:rsid w:val="001A7E88"/>
    <w:rsid w:val="001B76F6"/>
    <w:rsid w:val="001E6E7B"/>
    <w:rsid w:val="002254A1"/>
    <w:rsid w:val="00284F3E"/>
    <w:rsid w:val="002A296A"/>
    <w:rsid w:val="002D4678"/>
    <w:rsid w:val="002F6291"/>
    <w:rsid w:val="003225D5"/>
    <w:rsid w:val="00325611"/>
    <w:rsid w:val="003568CD"/>
    <w:rsid w:val="003740DE"/>
    <w:rsid w:val="00375032"/>
    <w:rsid w:val="003B6A38"/>
    <w:rsid w:val="003D310D"/>
    <w:rsid w:val="003E22F5"/>
    <w:rsid w:val="003E5A60"/>
    <w:rsid w:val="00404918"/>
    <w:rsid w:val="00414672"/>
    <w:rsid w:val="00414E80"/>
    <w:rsid w:val="00424CC4"/>
    <w:rsid w:val="00442214"/>
    <w:rsid w:val="004569F5"/>
    <w:rsid w:val="00463D4B"/>
    <w:rsid w:val="00484F27"/>
    <w:rsid w:val="004B377E"/>
    <w:rsid w:val="004C7607"/>
    <w:rsid w:val="004F12C6"/>
    <w:rsid w:val="004F270E"/>
    <w:rsid w:val="005104F6"/>
    <w:rsid w:val="00520FEE"/>
    <w:rsid w:val="00565603"/>
    <w:rsid w:val="00582BE9"/>
    <w:rsid w:val="005D7960"/>
    <w:rsid w:val="00637950"/>
    <w:rsid w:val="006575A9"/>
    <w:rsid w:val="00670C2B"/>
    <w:rsid w:val="00672A8C"/>
    <w:rsid w:val="00686063"/>
    <w:rsid w:val="006A7C0A"/>
    <w:rsid w:val="00701BC3"/>
    <w:rsid w:val="0075345E"/>
    <w:rsid w:val="007565A3"/>
    <w:rsid w:val="007653E4"/>
    <w:rsid w:val="007938D0"/>
    <w:rsid w:val="007D3374"/>
    <w:rsid w:val="007E1612"/>
    <w:rsid w:val="008046B3"/>
    <w:rsid w:val="0083206E"/>
    <w:rsid w:val="00856BB5"/>
    <w:rsid w:val="008A0365"/>
    <w:rsid w:val="008A369D"/>
    <w:rsid w:val="008C35F8"/>
    <w:rsid w:val="008F3FF3"/>
    <w:rsid w:val="00940BA4"/>
    <w:rsid w:val="00970D3F"/>
    <w:rsid w:val="009A1A7B"/>
    <w:rsid w:val="009E29DF"/>
    <w:rsid w:val="009F0FDB"/>
    <w:rsid w:val="00A435CC"/>
    <w:rsid w:val="00AA2DCB"/>
    <w:rsid w:val="00AE1AB0"/>
    <w:rsid w:val="00AE2F88"/>
    <w:rsid w:val="00AE6E79"/>
    <w:rsid w:val="00AF1C57"/>
    <w:rsid w:val="00B26599"/>
    <w:rsid w:val="00B478AE"/>
    <w:rsid w:val="00BA6682"/>
    <w:rsid w:val="00BD1BA8"/>
    <w:rsid w:val="00BE0348"/>
    <w:rsid w:val="00C26E5C"/>
    <w:rsid w:val="00C34F0D"/>
    <w:rsid w:val="00C6324D"/>
    <w:rsid w:val="00C84AE2"/>
    <w:rsid w:val="00CE6769"/>
    <w:rsid w:val="00D04B4C"/>
    <w:rsid w:val="00D4295A"/>
    <w:rsid w:val="00D47215"/>
    <w:rsid w:val="00D704F2"/>
    <w:rsid w:val="00D77675"/>
    <w:rsid w:val="00DB0CD0"/>
    <w:rsid w:val="00DC50F5"/>
    <w:rsid w:val="00DD1677"/>
    <w:rsid w:val="00DE05BF"/>
    <w:rsid w:val="00E27DE4"/>
    <w:rsid w:val="00E359BA"/>
    <w:rsid w:val="00E67E26"/>
    <w:rsid w:val="00E834EA"/>
    <w:rsid w:val="00E97169"/>
    <w:rsid w:val="00EC40A3"/>
    <w:rsid w:val="00EE75E0"/>
    <w:rsid w:val="00F11A3B"/>
    <w:rsid w:val="00F54CF1"/>
    <w:rsid w:val="00F56395"/>
    <w:rsid w:val="00F95CB3"/>
    <w:rsid w:val="7FFBB600"/>
    <w:rsid w:val="BEF9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页眉 字符1"/>
    <w:basedOn w:val="8"/>
    <w:qFormat/>
    <w:uiPriority w:val="99"/>
    <w:rPr>
      <w:sz w:val="18"/>
      <w:szCs w:val="18"/>
    </w:rPr>
  </w:style>
  <w:style w:type="character" w:customStyle="1" w:styleId="13">
    <w:name w:val="批注文字 字符"/>
    <w:basedOn w:val="8"/>
    <w:link w:val="2"/>
    <w:semiHidden/>
    <w:qFormat/>
    <w:uiPriority w:val="99"/>
    <w:rPr>
      <w:rFonts w:ascii="Calibri" w:hAnsi="Calibri" w:eastAsia="宋体" w:cs="Times New Roman"/>
      <w:kern w:val="2"/>
      <w:sz w:val="21"/>
    </w:rPr>
  </w:style>
  <w:style w:type="character" w:customStyle="1" w:styleId="14">
    <w:name w:val="批注主题 字符"/>
    <w:basedOn w:val="13"/>
    <w:link w:val="6"/>
    <w:semiHidden/>
    <w:qFormat/>
    <w:uiPriority w:val="99"/>
    <w:rPr>
      <w:rFonts w:ascii="Calibri" w:hAnsi="Calibri" w:eastAsia="宋体" w:cs="Times New Roman"/>
      <w:b/>
      <w:bCs/>
      <w:kern w:val="2"/>
      <w:sz w:val="21"/>
    </w:rPr>
  </w:style>
  <w:style w:type="character" w:customStyle="1" w:styleId="15">
    <w:name w:val="批注框文本 字符"/>
    <w:basedOn w:val="8"/>
    <w:link w:val="3"/>
    <w:semiHidden/>
    <w:qFormat/>
    <w:uiPriority w:val="99"/>
    <w:rPr>
      <w:rFonts w:ascii="Calibri" w:hAnsi="Calibri" w:eastAsia="宋体" w:cs="Times New Roman"/>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815</Characters>
  <Lines>6</Lines>
  <Paragraphs>1</Paragraphs>
  <TotalTime>17</TotalTime>
  <ScaleCrop>false</ScaleCrop>
  <LinksUpToDate>false</LinksUpToDate>
  <CharactersWithSpaces>956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2024-06-10T06:12:00Z</dcterms:created>
  <dcterms:modified xsi:type="dcterms:W3CDTF">2024-07-26T15:08:47Z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