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sz w:val="36"/>
          <w:szCs w:val="36"/>
        </w:rPr>
      </w:pPr>
      <w:r>
        <w:rPr>
          <w:rFonts w:ascii="黑体" w:hAnsi="黑体" w:eastAsia="黑体"/>
          <w:sz w:val="36"/>
          <w:szCs w:val="36"/>
        </w:rPr>
        <w:t>经营者集中简易案件公示表</w:t>
      </w:r>
    </w:p>
    <w:p>
      <w:pPr>
        <w:spacing w:line="440" w:lineRule="exact"/>
        <w:rPr>
          <w:rFonts w:ascii="Times New Roman" w:hAnsi="Times New Roman"/>
          <w:sz w:val="28"/>
          <w:szCs w:val="28"/>
        </w:rPr>
      </w:pP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Times New Roman" w:hAnsi="Times New Roman"/>
                <w:color w:val="333333"/>
                <w:kern w:val="0"/>
                <w:sz w:val="24"/>
                <w:szCs w:val="24"/>
              </w:rPr>
            </w:pPr>
            <w:r>
              <w:rPr>
                <w:rFonts w:ascii="Times New Roman" w:hAnsi="Times New Roman"/>
                <w:color w:val="333333"/>
                <w:kern w:val="0"/>
                <w:sz w:val="24"/>
                <w:szCs w:val="24"/>
              </w:rPr>
              <w:t>案件名称</w:t>
            </w:r>
          </w:p>
        </w:tc>
        <w:tc>
          <w:tcPr>
            <w:tcW w:w="6949" w:type="dxa"/>
            <w:gridSpan w:val="2"/>
          </w:tcPr>
          <w:p>
            <w:pPr>
              <w:rPr>
                <w:rFonts w:ascii="Times New Roman" w:hAnsi="Times New Roman"/>
                <w:color w:val="333333"/>
                <w:kern w:val="0"/>
                <w:sz w:val="24"/>
                <w:szCs w:val="24"/>
              </w:rPr>
            </w:pPr>
            <w:r>
              <w:rPr>
                <w:rFonts w:hint="eastAsia" w:ascii="宋体" w:hAnsi="宋体" w:cs="宋体"/>
                <w:kern w:val="0"/>
                <w:sz w:val="24"/>
                <w:szCs w:val="24"/>
              </w:rPr>
              <w:t>北京和利康源医疗科技有限公司和华润三九中药有限公司新设合营企业案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pPr>
              <w:jc w:val="center"/>
              <w:rPr>
                <w:rFonts w:ascii="Times New Roman" w:hAnsi="Times New Roman"/>
                <w:color w:val="333333"/>
                <w:kern w:val="0"/>
                <w:sz w:val="24"/>
                <w:szCs w:val="24"/>
              </w:rPr>
            </w:pPr>
            <w:r>
              <w:rPr>
                <w:rFonts w:ascii="Times New Roman" w:hAnsi="Times New Roman"/>
                <w:color w:val="333333"/>
                <w:kern w:val="0"/>
                <w:sz w:val="24"/>
                <w:szCs w:val="24"/>
              </w:rPr>
              <w:t>交易概况</w:t>
            </w:r>
          </w:p>
          <w:p>
            <w:pPr>
              <w:jc w:val="center"/>
              <w:rPr>
                <w:rFonts w:ascii="Times New Roman" w:hAnsi="Times New Roman"/>
                <w:color w:val="333333"/>
                <w:kern w:val="0"/>
                <w:sz w:val="24"/>
                <w:szCs w:val="24"/>
              </w:rPr>
            </w:pPr>
            <w:r>
              <w:rPr>
                <w:rFonts w:ascii="Times New Roman" w:hAnsi="Times New Roman"/>
                <w:color w:val="333333"/>
                <w:kern w:val="0"/>
                <w:sz w:val="24"/>
                <w:szCs w:val="24"/>
              </w:rPr>
              <w:t>（限200字内）</w:t>
            </w:r>
          </w:p>
        </w:tc>
        <w:tc>
          <w:tcPr>
            <w:tcW w:w="6949" w:type="dxa"/>
            <w:gridSpan w:val="2"/>
          </w:tcPr>
          <w:p>
            <w:pPr>
              <w:rPr>
                <w:rFonts w:ascii="Times New Roman" w:hAnsi="Times New Roman"/>
                <w:color w:val="333333"/>
                <w:kern w:val="0"/>
                <w:sz w:val="24"/>
                <w:szCs w:val="24"/>
              </w:rPr>
            </w:pPr>
            <w:bookmarkStart w:id="0" w:name="OLE_LINK7"/>
            <w:r>
              <w:rPr>
                <w:rFonts w:hint="eastAsia" w:ascii="宋体" w:hAnsi="宋体" w:cs="宋体"/>
                <w:kern w:val="0"/>
                <w:sz w:val="24"/>
                <w:szCs w:val="24"/>
              </w:rPr>
              <w:t>北京和利康源医疗科技有限公司</w:t>
            </w:r>
            <w:r>
              <w:rPr>
                <w:rFonts w:ascii="宋体" w:hAnsi="宋体" w:cs="宋体"/>
                <w:kern w:val="0"/>
                <w:sz w:val="24"/>
                <w:szCs w:val="24"/>
              </w:rPr>
              <w:t>（</w:t>
            </w:r>
            <w:r>
              <w:rPr>
                <w:rFonts w:hint="eastAsia" w:ascii="宋体" w:hAnsi="宋体" w:cs="宋体"/>
                <w:kern w:val="0"/>
                <w:sz w:val="24"/>
                <w:szCs w:val="24"/>
                <w:lang w:eastAsia="zh-Hans"/>
              </w:rPr>
              <w:t>“</w:t>
            </w:r>
            <w:r>
              <w:rPr>
                <w:rFonts w:hint="eastAsia" w:ascii="Times New Roman" w:hAnsi="Times New Roman"/>
                <w:color w:val="333333"/>
                <w:kern w:val="0"/>
                <w:sz w:val="24"/>
                <w:szCs w:val="24"/>
                <w:lang w:eastAsia="zh-Hans"/>
              </w:rPr>
              <w:t>和利康源”</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和</w:t>
            </w:r>
            <w:r>
              <w:rPr>
                <w:rFonts w:hint="eastAsia" w:ascii="宋体" w:hAnsi="宋体" w:cs="宋体"/>
                <w:kern w:val="0"/>
                <w:sz w:val="24"/>
                <w:szCs w:val="24"/>
              </w:rPr>
              <w:t>华润三九中药有限公司</w:t>
            </w:r>
            <w:r>
              <w:rPr>
                <w:rFonts w:ascii="宋体" w:hAnsi="宋体" w:cs="宋体"/>
                <w:kern w:val="0"/>
                <w:sz w:val="24"/>
                <w:szCs w:val="24"/>
              </w:rPr>
              <w:t>（</w:t>
            </w:r>
            <w:r>
              <w:rPr>
                <w:rFonts w:hint="eastAsia" w:ascii="宋体" w:hAnsi="宋体" w:cs="宋体"/>
                <w:kern w:val="0"/>
                <w:sz w:val="24"/>
                <w:szCs w:val="24"/>
                <w:lang w:eastAsia="zh-Hans"/>
              </w:rPr>
              <w:t>“</w:t>
            </w:r>
            <w:r>
              <w:rPr>
                <w:rFonts w:hint="eastAsia" w:ascii="Times New Roman" w:hAnsi="Times New Roman"/>
                <w:color w:val="333333"/>
                <w:kern w:val="0"/>
                <w:sz w:val="24"/>
                <w:szCs w:val="24"/>
                <w:lang w:eastAsia="zh-Hans"/>
              </w:rPr>
              <w:t>三九中药”</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拟共同设立合营企业，从事药房自动化设备租赁服务</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交易完成后</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和利康源和三九中药将分别持有合营企业65%和35%的股权，共同控制合营企业。</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jc w:val="center"/>
              <w:rPr>
                <w:rFonts w:ascii="Times New Roman" w:hAnsi="Times New Roman"/>
                <w:color w:val="333333"/>
                <w:kern w:val="0"/>
                <w:sz w:val="24"/>
                <w:szCs w:val="24"/>
              </w:rPr>
            </w:pPr>
            <w:r>
              <w:rPr>
                <w:rFonts w:ascii="Times New Roman" w:hAnsi="Times New Roman"/>
                <w:color w:val="333333"/>
                <w:kern w:val="0"/>
                <w:sz w:val="24"/>
                <w:szCs w:val="24"/>
              </w:rPr>
              <w:t>参与集中的</w:t>
            </w:r>
          </w:p>
          <w:p>
            <w:pPr>
              <w:jc w:val="center"/>
              <w:rPr>
                <w:rFonts w:ascii="Times New Roman" w:hAnsi="Times New Roman"/>
                <w:color w:val="333333"/>
                <w:kern w:val="0"/>
                <w:sz w:val="24"/>
                <w:szCs w:val="24"/>
              </w:rPr>
            </w:pPr>
            <w:r>
              <w:rPr>
                <w:rFonts w:ascii="Times New Roman" w:hAnsi="Times New Roman"/>
                <w:color w:val="333333"/>
                <w:kern w:val="0"/>
                <w:sz w:val="24"/>
                <w:szCs w:val="24"/>
              </w:rPr>
              <w:t>经营者简介</w:t>
            </w:r>
          </w:p>
        </w:tc>
        <w:tc>
          <w:tcPr>
            <w:tcW w:w="1796" w:type="dxa"/>
          </w:tcPr>
          <w:p>
            <w:pPr>
              <w:rPr>
                <w:rFonts w:ascii="Times New Roman" w:hAnsi="Times New Roman"/>
                <w:color w:val="333333"/>
                <w:kern w:val="0"/>
                <w:sz w:val="24"/>
                <w:szCs w:val="24"/>
                <w:lang w:eastAsia="zh-Hans"/>
              </w:rPr>
            </w:pPr>
            <w:r>
              <w:rPr>
                <w:rFonts w:ascii="Times New Roman" w:hAnsi="Times New Roman"/>
                <w:color w:val="333333"/>
                <w:kern w:val="0"/>
                <w:sz w:val="24"/>
                <w:szCs w:val="24"/>
              </w:rPr>
              <w:t>1、</w:t>
            </w:r>
            <w:r>
              <w:rPr>
                <w:rFonts w:hint="eastAsia" w:ascii="Times New Roman" w:hAnsi="Times New Roman"/>
                <w:color w:val="333333"/>
                <w:kern w:val="0"/>
                <w:sz w:val="24"/>
                <w:szCs w:val="24"/>
                <w:lang w:eastAsia="zh-Hans"/>
              </w:rPr>
              <w:t>和利康源</w:t>
            </w:r>
          </w:p>
        </w:tc>
        <w:tc>
          <w:tcPr>
            <w:tcW w:w="5153" w:type="dxa"/>
          </w:tcPr>
          <w:p>
            <w:pPr>
              <w:rPr>
                <w:rFonts w:ascii="Times New Roman" w:hAnsi="Times New Roman"/>
                <w:color w:val="333333"/>
                <w:kern w:val="0"/>
                <w:sz w:val="24"/>
                <w:szCs w:val="24"/>
                <w:lang w:eastAsia="zh-Hans"/>
              </w:rPr>
            </w:pPr>
            <w:r>
              <w:rPr>
                <w:rFonts w:hint="eastAsia" w:ascii="Times New Roman" w:hAnsi="Times New Roman"/>
                <w:color w:val="333333"/>
                <w:kern w:val="0"/>
                <w:sz w:val="24"/>
                <w:szCs w:val="24"/>
                <w:lang w:eastAsia="zh-Hans"/>
              </w:rPr>
              <w:t>和利康源于</w:t>
            </w:r>
            <w:r>
              <w:rPr>
                <w:rFonts w:ascii="Times New Roman" w:hAnsi="Times New Roman"/>
                <w:color w:val="333333"/>
                <w:kern w:val="0"/>
                <w:sz w:val="24"/>
                <w:szCs w:val="24"/>
                <w:lang w:eastAsia="zh-Hans"/>
              </w:rPr>
              <w:t>2010</w:t>
            </w:r>
            <w:r>
              <w:rPr>
                <w:rFonts w:hint="eastAsia" w:ascii="Times New Roman" w:hAnsi="Times New Roman"/>
                <w:color w:val="333333"/>
                <w:kern w:val="0"/>
                <w:sz w:val="24"/>
                <w:szCs w:val="24"/>
                <w:lang w:eastAsia="zh-Hans"/>
              </w:rPr>
              <w:t>年</w:t>
            </w:r>
            <w:r>
              <w:rPr>
                <w:rFonts w:ascii="Times New Roman" w:hAnsi="Times New Roman"/>
                <w:color w:val="333333"/>
                <w:kern w:val="0"/>
                <w:sz w:val="24"/>
                <w:szCs w:val="24"/>
                <w:lang w:eastAsia="zh-Hans"/>
              </w:rPr>
              <w:t>6</w:t>
            </w:r>
            <w:r>
              <w:rPr>
                <w:rFonts w:hint="eastAsia" w:ascii="Times New Roman" w:hAnsi="Times New Roman"/>
                <w:color w:val="333333"/>
                <w:kern w:val="0"/>
                <w:sz w:val="24"/>
                <w:szCs w:val="24"/>
                <w:lang w:eastAsia="zh-Hans"/>
              </w:rPr>
              <w:t>月</w:t>
            </w:r>
            <w:r>
              <w:rPr>
                <w:rFonts w:ascii="Times New Roman" w:hAnsi="Times New Roman"/>
                <w:color w:val="333333"/>
                <w:kern w:val="0"/>
                <w:sz w:val="24"/>
                <w:szCs w:val="24"/>
                <w:lang w:eastAsia="zh-Hans"/>
              </w:rPr>
              <w:t>4</w:t>
            </w:r>
            <w:r>
              <w:rPr>
                <w:rFonts w:hint="eastAsia" w:ascii="Times New Roman" w:hAnsi="Times New Roman"/>
                <w:color w:val="333333"/>
                <w:kern w:val="0"/>
                <w:sz w:val="24"/>
                <w:szCs w:val="24"/>
                <w:lang w:eastAsia="zh-Hans"/>
              </w:rPr>
              <w:t>日成立于北京市</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主要业务为药房自动化设备的生产销售</w:t>
            </w:r>
            <w:r>
              <w:rPr>
                <w:rFonts w:ascii="Times New Roman" w:hAnsi="Times New Roman"/>
                <w:color w:val="333333"/>
                <w:kern w:val="0"/>
                <w:sz w:val="24"/>
                <w:szCs w:val="24"/>
                <w:lang w:eastAsia="zh-Hans"/>
              </w:rPr>
              <w:t>。</w:t>
            </w:r>
          </w:p>
          <w:p>
            <w:pPr>
              <w:rPr>
                <w:rFonts w:ascii="Times New Roman" w:hAnsi="Times New Roman"/>
                <w:color w:val="333333"/>
                <w:kern w:val="0"/>
                <w:sz w:val="24"/>
                <w:szCs w:val="24"/>
                <w:lang w:eastAsia="zh-Hans"/>
              </w:rPr>
            </w:pPr>
            <w:r>
              <w:rPr>
                <w:rFonts w:hint="eastAsia" w:ascii="Times New Roman" w:hAnsi="Times New Roman"/>
                <w:color w:val="333333"/>
                <w:kern w:val="0"/>
                <w:sz w:val="24"/>
                <w:szCs w:val="24"/>
                <w:lang w:eastAsia="zh-Hans"/>
              </w:rPr>
              <w:t>其最终控制人为和利时自动化技术有限公司 Hollysys Automation Technology Ltd.（BVI），主要从事食药智能化、工业智能化、交通智能化等业务。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jc w:val="center"/>
              <w:rPr>
                <w:rFonts w:ascii="Times New Roman" w:hAnsi="Times New Roman"/>
                <w:color w:val="333333"/>
                <w:kern w:val="0"/>
                <w:sz w:val="24"/>
                <w:szCs w:val="24"/>
              </w:rPr>
            </w:pPr>
          </w:p>
        </w:tc>
        <w:tc>
          <w:tcPr>
            <w:tcW w:w="1796" w:type="dxa"/>
          </w:tcPr>
          <w:p>
            <w:pPr>
              <w:rPr>
                <w:rFonts w:ascii="Times New Roman" w:hAnsi="Times New Roman"/>
                <w:color w:val="333333"/>
                <w:kern w:val="0"/>
                <w:sz w:val="24"/>
                <w:szCs w:val="24"/>
                <w:lang w:eastAsia="zh-Hans"/>
              </w:rPr>
            </w:pPr>
            <w:r>
              <w:rPr>
                <w:rFonts w:ascii="Times New Roman" w:hAnsi="Times New Roman"/>
                <w:color w:val="333333"/>
                <w:kern w:val="0"/>
                <w:sz w:val="24"/>
                <w:szCs w:val="24"/>
              </w:rPr>
              <w:t>2、</w:t>
            </w:r>
            <w:r>
              <w:rPr>
                <w:rFonts w:hint="eastAsia" w:ascii="Times New Roman" w:hAnsi="Times New Roman"/>
                <w:color w:val="333333"/>
                <w:kern w:val="0"/>
                <w:sz w:val="24"/>
                <w:szCs w:val="24"/>
                <w:lang w:eastAsia="zh-Hans"/>
              </w:rPr>
              <w:t>三九中药</w:t>
            </w:r>
          </w:p>
        </w:tc>
        <w:tc>
          <w:tcPr>
            <w:tcW w:w="5153" w:type="dxa"/>
          </w:tcPr>
          <w:p>
            <w:pPr>
              <w:rPr>
                <w:rFonts w:ascii="Times New Roman" w:hAnsi="Times New Roman"/>
                <w:color w:val="333333"/>
                <w:kern w:val="0"/>
                <w:sz w:val="24"/>
                <w:szCs w:val="24"/>
              </w:rPr>
            </w:pPr>
            <w:r>
              <w:rPr>
                <w:rFonts w:hint="eastAsia" w:ascii="Times New Roman" w:hAnsi="Times New Roman"/>
                <w:color w:val="333333"/>
                <w:kern w:val="0"/>
                <w:sz w:val="24"/>
                <w:szCs w:val="24"/>
                <w:lang w:eastAsia="zh-Hans"/>
              </w:rPr>
              <w:t>三九中药于</w:t>
            </w:r>
            <w:r>
              <w:rPr>
                <w:rFonts w:ascii="Times New Roman" w:hAnsi="Times New Roman"/>
                <w:color w:val="333333"/>
                <w:kern w:val="0"/>
                <w:sz w:val="24"/>
                <w:szCs w:val="24"/>
                <w:lang w:eastAsia="zh-Hans"/>
              </w:rPr>
              <w:t>2003</w:t>
            </w:r>
            <w:r>
              <w:rPr>
                <w:rFonts w:hint="eastAsia" w:ascii="Times New Roman" w:hAnsi="Times New Roman"/>
                <w:color w:val="333333"/>
                <w:kern w:val="0"/>
                <w:sz w:val="24"/>
                <w:szCs w:val="24"/>
                <w:lang w:eastAsia="zh-Hans"/>
              </w:rPr>
              <w:t>年</w:t>
            </w:r>
            <w:r>
              <w:rPr>
                <w:rFonts w:ascii="Times New Roman" w:hAnsi="Times New Roman"/>
                <w:color w:val="333333"/>
                <w:kern w:val="0"/>
                <w:sz w:val="24"/>
                <w:szCs w:val="24"/>
                <w:lang w:eastAsia="zh-Hans"/>
              </w:rPr>
              <w:t>9</w:t>
            </w:r>
            <w:r>
              <w:rPr>
                <w:rFonts w:hint="eastAsia" w:ascii="Times New Roman" w:hAnsi="Times New Roman"/>
                <w:color w:val="333333"/>
                <w:kern w:val="0"/>
                <w:sz w:val="24"/>
                <w:szCs w:val="24"/>
                <w:lang w:eastAsia="zh-Hans"/>
              </w:rPr>
              <w:t>月</w:t>
            </w:r>
            <w:r>
              <w:rPr>
                <w:rFonts w:ascii="Times New Roman" w:hAnsi="Times New Roman"/>
                <w:color w:val="333333"/>
                <w:kern w:val="0"/>
                <w:sz w:val="24"/>
                <w:szCs w:val="24"/>
                <w:lang w:eastAsia="zh-Hans"/>
              </w:rPr>
              <w:t>4</w:t>
            </w:r>
            <w:r>
              <w:rPr>
                <w:rFonts w:hint="eastAsia" w:ascii="Times New Roman" w:hAnsi="Times New Roman"/>
                <w:color w:val="333333"/>
                <w:kern w:val="0"/>
                <w:sz w:val="24"/>
                <w:szCs w:val="24"/>
                <w:lang w:eastAsia="zh-Hans"/>
              </w:rPr>
              <w:t>日成立于</w:t>
            </w:r>
            <w:bookmarkStart w:id="1" w:name="_GoBack"/>
            <w:bookmarkEnd w:id="1"/>
            <w:r>
              <w:rPr>
                <w:rFonts w:hint="eastAsia" w:ascii="Times New Roman" w:hAnsi="Times New Roman"/>
                <w:color w:val="333333"/>
                <w:kern w:val="0"/>
                <w:sz w:val="24"/>
                <w:szCs w:val="24"/>
                <w:lang w:eastAsia="zh-Hans"/>
              </w:rPr>
              <w:t>安徽省合肥市</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主要从事中药饮片、药材、新零售业务（销售参茸滋补品、中华名药、中西保健品、口服饮片、药食同源类健康食品）</w:t>
            </w:r>
            <w:r>
              <w:rPr>
                <w:rFonts w:hint="eastAsia" w:ascii="Times New Roman" w:hAnsi="Times New Roman"/>
                <w:color w:val="333333"/>
                <w:kern w:val="0"/>
                <w:sz w:val="24"/>
                <w:szCs w:val="24"/>
              </w:rPr>
              <w:t>。</w:t>
            </w:r>
          </w:p>
          <w:p>
            <w:pPr>
              <w:rPr>
                <w:rFonts w:ascii="Times New Roman" w:hAnsi="Times New Roman"/>
                <w:color w:val="333333"/>
                <w:kern w:val="0"/>
                <w:sz w:val="24"/>
                <w:szCs w:val="24"/>
                <w:lang w:eastAsia="zh-Hans"/>
              </w:rPr>
            </w:pPr>
            <w:r>
              <w:rPr>
                <w:rFonts w:hint="eastAsia" w:ascii="Times New Roman" w:hAnsi="Times New Roman"/>
                <w:color w:val="333333"/>
                <w:kern w:val="0"/>
                <w:sz w:val="24"/>
                <w:szCs w:val="24"/>
                <w:lang w:eastAsia="zh-Hans"/>
              </w:rPr>
              <w:t>其最终控制人为中国华润有限公司</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lang w:eastAsia="zh-Hans"/>
              </w:rPr>
              <w:t>主要从事大消费、大健康、城市建设与运营、能源服务、科技与金融。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jc w:val="center"/>
              <w:rPr>
                <w:rFonts w:ascii="Times New Roman" w:hAnsi="Times New Roman"/>
                <w:color w:val="333333"/>
                <w:kern w:val="0"/>
                <w:sz w:val="24"/>
                <w:szCs w:val="24"/>
                <w:highlight w:val="yellow"/>
              </w:rPr>
            </w:pPr>
            <w:r>
              <w:rPr>
                <w:rFonts w:ascii="Times New Roman" w:hAnsi="Times New Roman"/>
                <w:color w:val="333333"/>
                <w:kern w:val="0"/>
                <w:sz w:val="24"/>
                <w:szCs w:val="24"/>
              </w:rPr>
              <w:t>简易案件理由（可以单选，也可以多选）</w:t>
            </w: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A8"/>
            </w:r>
            <w:r>
              <w:rPr>
                <w:rFonts w:ascii="Times New Roman" w:hAnsi="Times New Roman"/>
                <w:color w:val="333333"/>
                <w:kern w:val="0"/>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jc w:val="center"/>
              <w:rPr>
                <w:rFonts w:ascii="Times New Roman" w:hAnsi="Times New Roman"/>
                <w:color w:val="333333"/>
                <w:kern w:val="0"/>
                <w:sz w:val="24"/>
                <w:szCs w:val="24"/>
                <w:highlight w:val="yellow"/>
              </w:rPr>
            </w:pP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FE"/>
            </w:r>
            <w:r>
              <w:rPr>
                <w:rFonts w:ascii="Times New Roman" w:hAnsi="Times New Roman"/>
                <w:color w:val="333333"/>
                <w:kern w:val="0"/>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jc w:val="center"/>
              <w:rPr>
                <w:rFonts w:ascii="Times New Roman" w:hAnsi="Times New Roman"/>
                <w:color w:val="333333"/>
                <w:kern w:val="0"/>
                <w:sz w:val="24"/>
                <w:szCs w:val="24"/>
              </w:rPr>
            </w:pP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A8"/>
            </w:r>
            <w:r>
              <w:rPr>
                <w:rFonts w:ascii="Times New Roman" w:hAnsi="Times New Roman"/>
                <w:color w:val="333333"/>
                <w:kern w:val="0"/>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09" w:type="dxa"/>
            <w:vMerge w:val="continue"/>
            <w:shd w:val="clear" w:color="auto" w:fill="D9D9D9"/>
            <w:vAlign w:val="center"/>
          </w:tcPr>
          <w:p>
            <w:pPr>
              <w:jc w:val="center"/>
              <w:rPr>
                <w:rFonts w:ascii="Times New Roman" w:hAnsi="Times New Roman"/>
                <w:color w:val="333333"/>
                <w:kern w:val="0"/>
                <w:sz w:val="24"/>
                <w:szCs w:val="24"/>
              </w:rPr>
            </w:pP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A8"/>
            </w:r>
            <w:r>
              <w:rPr>
                <w:rFonts w:ascii="Times New Roman" w:hAnsi="Times New Roman"/>
                <w:color w:val="333333"/>
                <w:kern w:val="0"/>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jc w:val="center"/>
              <w:rPr>
                <w:rFonts w:ascii="Times New Roman" w:hAnsi="Times New Roman"/>
                <w:color w:val="333333"/>
                <w:kern w:val="0"/>
                <w:sz w:val="24"/>
                <w:szCs w:val="24"/>
              </w:rPr>
            </w:pP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A8"/>
            </w:r>
            <w:r>
              <w:rPr>
                <w:rFonts w:ascii="Times New Roman" w:hAnsi="Times New Roman"/>
                <w:color w:val="333333"/>
                <w:kern w:val="0"/>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jc w:val="center"/>
              <w:rPr>
                <w:rFonts w:ascii="Times New Roman" w:hAnsi="Times New Roman"/>
                <w:color w:val="333333"/>
                <w:kern w:val="0"/>
                <w:sz w:val="24"/>
                <w:szCs w:val="24"/>
              </w:rPr>
            </w:pPr>
          </w:p>
        </w:tc>
        <w:tc>
          <w:tcPr>
            <w:tcW w:w="6949" w:type="dxa"/>
            <w:gridSpan w:val="2"/>
          </w:tcPr>
          <w:p>
            <w:pPr>
              <w:rPr>
                <w:rFonts w:ascii="Times New Roman" w:hAnsi="Times New Roman"/>
                <w:color w:val="333333"/>
                <w:kern w:val="0"/>
                <w:sz w:val="24"/>
                <w:szCs w:val="24"/>
              </w:rPr>
            </w:pPr>
            <w:r>
              <w:rPr>
                <w:rFonts w:hint="eastAsia" w:ascii="宋体" w:hAnsi="宋体" w:cs="宋体"/>
                <w:bCs/>
                <w:color w:val="000000"/>
              </w:rPr>
              <w:sym w:font="Wingdings" w:char="00A8"/>
            </w:r>
            <w:r>
              <w:rPr>
                <w:rFonts w:ascii="Times New Roman" w:hAnsi="Times New Roman"/>
                <w:color w:val="333333"/>
                <w:kern w:val="0"/>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Times New Roman" w:hAnsi="Times New Roman"/>
                <w:color w:val="333333"/>
                <w:kern w:val="0"/>
                <w:sz w:val="24"/>
                <w:szCs w:val="24"/>
              </w:rPr>
            </w:pPr>
            <w:r>
              <w:rPr>
                <w:rFonts w:ascii="Times New Roman" w:hAnsi="Times New Roman"/>
                <w:color w:val="333333"/>
                <w:kern w:val="0"/>
                <w:sz w:val="24"/>
                <w:szCs w:val="24"/>
              </w:rPr>
              <w:t>备注</w:t>
            </w:r>
          </w:p>
        </w:tc>
        <w:tc>
          <w:tcPr>
            <w:tcW w:w="6949" w:type="dxa"/>
            <w:gridSpan w:val="2"/>
          </w:tcPr>
          <w:p>
            <w:pPr>
              <w:pStyle w:val="6"/>
              <w:ind w:firstLine="0" w:firstLineChars="0"/>
              <w:rPr>
                <w:rFonts w:ascii="Times New Roman" w:hAnsi="Times New Roman"/>
                <w:color w:val="333333"/>
                <w:kern w:val="0"/>
                <w:sz w:val="24"/>
                <w:szCs w:val="24"/>
              </w:rPr>
            </w:pPr>
            <w:r>
              <w:rPr>
                <w:rFonts w:hint="eastAsia" w:ascii="Times New Roman" w:hAnsi="Times New Roman"/>
                <w:color w:val="333333"/>
                <w:kern w:val="0"/>
                <w:sz w:val="24"/>
                <w:szCs w:val="24"/>
                <w:lang w:eastAsia="zh-CN"/>
              </w:rPr>
              <w:t>上游：</w:t>
            </w:r>
            <w:r>
              <w:rPr>
                <w:rFonts w:hint="eastAsia" w:ascii="Times New Roman" w:hAnsi="Times New Roman"/>
                <w:color w:val="333333"/>
                <w:kern w:val="0"/>
                <w:sz w:val="24"/>
                <w:szCs w:val="24"/>
              </w:rPr>
              <w:t>2023年</w:t>
            </w:r>
            <w:r>
              <w:rPr>
                <w:rFonts w:hint="eastAsia" w:ascii="Times New Roman" w:hAnsi="Times New Roman"/>
                <w:color w:val="333333"/>
                <w:kern w:val="0"/>
                <w:sz w:val="24"/>
                <w:szCs w:val="24"/>
                <w:lang w:eastAsia="zh-Hans"/>
              </w:rPr>
              <w:t>中国境内药房自动化设备市场</w:t>
            </w:r>
          </w:p>
          <w:p>
            <w:pPr>
              <w:pStyle w:val="6"/>
              <w:ind w:firstLine="0" w:firstLineChars="0"/>
              <w:rPr>
                <w:rFonts w:ascii="Times New Roman" w:hAnsi="Times New Roman"/>
                <w:color w:val="333333"/>
                <w:kern w:val="0"/>
                <w:sz w:val="24"/>
                <w:szCs w:val="24"/>
              </w:rPr>
            </w:pPr>
            <w:r>
              <w:rPr>
                <w:rFonts w:hint="eastAsia" w:ascii="Times New Roman" w:hAnsi="Times New Roman"/>
                <w:color w:val="333333"/>
                <w:kern w:val="0"/>
                <w:sz w:val="24"/>
                <w:szCs w:val="24"/>
                <w:lang w:eastAsia="zh-Hans"/>
              </w:rPr>
              <w:t>和利康源</w:t>
            </w:r>
            <w:r>
              <w:rPr>
                <w:rFonts w:hint="eastAsia" w:ascii="Times New Roman" w:hAnsi="Times New Roman"/>
                <w:color w:val="333333"/>
                <w:kern w:val="0"/>
                <w:sz w:val="24"/>
                <w:szCs w:val="24"/>
              </w:rPr>
              <w:t>：</w:t>
            </w:r>
            <w:r>
              <w:rPr>
                <w:rFonts w:ascii="Times New Roman" w:hAnsi="Times New Roman"/>
                <w:color w:val="333333"/>
                <w:kern w:val="0"/>
                <w:sz w:val="24"/>
                <w:szCs w:val="24"/>
              </w:rPr>
              <w:t>10%-15%</w:t>
            </w:r>
          </w:p>
          <w:p>
            <w:pPr>
              <w:pStyle w:val="6"/>
              <w:ind w:firstLine="0" w:firstLineChars="0"/>
              <w:rPr>
                <w:rFonts w:ascii="Times New Roman" w:hAnsi="Times New Roman"/>
                <w:color w:val="333333"/>
                <w:kern w:val="0"/>
                <w:sz w:val="24"/>
                <w:szCs w:val="24"/>
              </w:rPr>
            </w:pPr>
            <w:r>
              <w:rPr>
                <w:rFonts w:hint="eastAsia" w:ascii="Times New Roman" w:hAnsi="Times New Roman"/>
                <w:color w:val="333333"/>
                <w:kern w:val="0"/>
                <w:sz w:val="24"/>
                <w:szCs w:val="24"/>
                <w:lang w:eastAsia="zh-CN"/>
              </w:rPr>
              <w:t>中游：</w:t>
            </w:r>
            <w:r>
              <w:rPr>
                <w:rFonts w:hint="eastAsia" w:ascii="Times New Roman" w:hAnsi="Times New Roman"/>
                <w:color w:val="333333"/>
                <w:kern w:val="0"/>
                <w:sz w:val="24"/>
                <w:szCs w:val="24"/>
              </w:rPr>
              <w:t>2023年中国境内药房自动化设备租赁服务市场</w:t>
            </w:r>
          </w:p>
          <w:p>
            <w:pPr>
              <w:pStyle w:val="6"/>
              <w:ind w:firstLine="0" w:firstLineChars="0"/>
              <w:rPr>
                <w:rFonts w:ascii="Times New Roman" w:hAnsi="Times New Roman"/>
                <w:color w:val="333333"/>
                <w:kern w:val="0"/>
                <w:sz w:val="24"/>
                <w:szCs w:val="24"/>
                <w:lang w:eastAsia="zh-Hans"/>
              </w:rPr>
            </w:pPr>
            <w:r>
              <w:rPr>
                <w:rFonts w:hint="eastAsia" w:ascii="Times New Roman" w:hAnsi="Times New Roman"/>
                <w:color w:val="333333"/>
                <w:kern w:val="0"/>
                <w:sz w:val="24"/>
                <w:szCs w:val="24"/>
              </w:rPr>
              <w:t>合营企业（2025年预估）</w:t>
            </w:r>
            <w:r>
              <w:rPr>
                <w:rFonts w:ascii="Times New Roman" w:hAnsi="Times New Roman"/>
                <w:color w:val="333333"/>
                <w:kern w:val="0"/>
                <w:sz w:val="24"/>
                <w:szCs w:val="24"/>
                <w:lang w:eastAsia="zh-Hans"/>
              </w:rPr>
              <w:t>：</w:t>
            </w:r>
            <w:r>
              <w:rPr>
                <w:rFonts w:hint="eastAsia" w:ascii="Times New Roman" w:hAnsi="Times New Roman"/>
                <w:color w:val="333333"/>
                <w:kern w:val="0"/>
                <w:sz w:val="24"/>
                <w:szCs w:val="24"/>
              </w:rPr>
              <w:t>0-</w:t>
            </w:r>
            <w:r>
              <w:rPr>
                <w:rFonts w:ascii="Times New Roman" w:hAnsi="Times New Roman"/>
                <w:color w:val="333333"/>
                <w:kern w:val="0"/>
                <w:sz w:val="24"/>
                <w:szCs w:val="24"/>
                <w:lang w:eastAsia="zh-Hans"/>
              </w:rPr>
              <w:t>5%</w:t>
            </w:r>
          </w:p>
          <w:p>
            <w:pPr>
              <w:pStyle w:val="6"/>
              <w:ind w:firstLine="0" w:firstLineChars="0"/>
              <w:rPr>
                <w:rFonts w:ascii="Times New Roman" w:hAnsi="Times New Roman"/>
                <w:color w:val="333333"/>
                <w:kern w:val="0"/>
                <w:sz w:val="24"/>
                <w:szCs w:val="24"/>
              </w:rPr>
            </w:pPr>
            <w:r>
              <w:rPr>
                <w:rFonts w:hint="eastAsia" w:ascii="Times New Roman" w:hAnsi="Times New Roman"/>
                <w:color w:val="333333"/>
                <w:kern w:val="0"/>
                <w:sz w:val="24"/>
                <w:szCs w:val="24"/>
                <w:lang w:eastAsia="zh-CN"/>
              </w:rPr>
              <w:t>下游：</w:t>
            </w:r>
            <w:r>
              <w:rPr>
                <w:rFonts w:hint="eastAsia" w:ascii="Times New Roman" w:hAnsi="Times New Roman"/>
                <w:color w:val="333333"/>
                <w:kern w:val="0"/>
                <w:sz w:val="24"/>
                <w:szCs w:val="24"/>
              </w:rPr>
              <w:t>2023年中国境内中药饮片市场</w:t>
            </w:r>
          </w:p>
          <w:p>
            <w:pPr>
              <w:pStyle w:val="6"/>
              <w:ind w:firstLine="0" w:firstLineChars="0"/>
              <w:rPr>
                <w:rFonts w:ascii="Times New Roman" w:hAnsi="Times New Roman"/>
                <w:color w:val="333333"/>
                <w:kern w:val="0"/>
                <w:sz w:val="24"/>
                <w:szCs w:val="24"/>
              </w:rPr>
            </w:pPr>
            <w:r>
              <w:rPr>
                <w:rFonts w:hint="eastAsia" w:ascii="Times New Roman" w:hAnsi="Times New Roman"/>
                <w:color w:val="333333"/>
                <w:kern w:val="0"/>
                <w:sz w:val="24"/>
                <w:szCs w:val="24"/>
              </w:rPr>
              <w:t>三九中药：0-5%</w:t>
            </w:r>
          </w:p>
        </w:tc>
      </w:tr>
    </w:tbl>
    <w:p>
      <w:pPr>
        <w:keepNext/>
        <w:spacing w:line="14"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BCF4554"/>
    <w:rsid w:val="00015B19"/>
    <w:rsid w:val="00042556"/>
    <w:rsid w:val="00042C1B"/>
    <w:rsid w:val="00082C4A"/>
    <w:rsid w:val="00090000"/>
    <w:rsid w:val="000C2D25"/>
    <w:rsid w:val="0024353C"/>
    <w:rsid w:val="002B4044"/>
    <w:rsid w:val="00371DBB"/>
    <w:rsid w:val="003A509C"/>
    <w:rsid w:val="00401F75"/>
    <w:rsid w:val="004C72CD"/>
    <w:rsid w:val="004D05FD"/>
    <w:rsid w:val="00501950"/>
    <w:rsid w:val="00532010"/>
    <w:rsid w:val="005511CD"/>
    <w:rsid w:val="00687B3B"/>
    <w:rsid w:val="0070591A"/>
    <w:rsid w:val="00736B12"/>
    <w:rsid w:val="00765E47"/>
    <w:rsid w:val="00773C2E"/>
    <w:rsid w:val="0080043B"/>
    <w:rsid w:val="008162AA"/>
    <w:rsid w:val="008677A9"/>
    <w:rsid w:val="008D2D67"/>
    <w:rsid w:val="00927658"/>
    <w:rsid w:val="0093083E"/>
    <w:rsid w:val="00940A38"/>
    <w:rsid w:val="009A796E"/>
    <w:rsid w:val="009E3D56"/>
    <w:rsid w:val="009F6A9E"/>
    <w:rsid w:val="00A50E73"/>
    <w:rsid w:val="00A528C0"/>
    <w:rsid w:val="00AD2315"/>
    <w:rsid w:val="00AF352A"/>
    <w:rsid w:val="00B65FBE"/>
    <w:rsid w:val="00BF78F0"/>
    <w:rsid w:val="00D272A4"/>
    <w:rsid w:val="00D775AD"/>
    <w:rsid w:val="00DB5F71"/>
    <w:rsid w:val="00DC0453"/>
    <w:rsid w:val="00E011B9"/>
    <w:rsid w:val="00E20FDB"/>
    <w:rsid w:val="00E309B0"/>
    <w:rsid w:val="00E73075"/>
    <w:rsid w:val="00F830A9"/>
    <w:rsid w:val="135B04DC"/>
    <w:rsid w:val="26EBA221"/>
    <w:rsid w:val="27BC4537"/>
    <w:rsid w:val="33AFA118"/>
    <w:rsid w:val="3FFF7608"/>
    <w:rsid w:val="4CEFDFE9"/>
    <w:rsid w:val="57FF95FD"/>
    <w:rsid w:val="5BEC283F"/>
    <w:rsid w:val="6BB9A582"/>
    <w:rsid w:val="6EDFF814"/>
    <w:rsid w:val="6F5F391A"/>
    <w:rsid w:val="6F790F91"/>
    <w:rsid w:val="6FD9AA94"/>
    <w:rsid w:val="6FFF160B"/>
    <w:rsid w:val="727A5E5A"/>
    <w:rsid w:val="742E82B5"/>
    <w:rsid w:val="74FB77D5"/>
    <w:rsid w:val="759F3893"/>
    <w:rsid w:val="766B2339"/>
    <w:rsid w:val="76DFB256"/>
    <w:rsid w:val="7BF76151"/>
    <w:rsid w:val="7CDD1A44"/>
    <w:rsid w:val="7D7D82F0"/>
    <w:rsid w:val="7D7F3CF6"/>
    <w:rsid w:val="7EFF3172"/>
    <w:rsid w:val="7F7FF3B5"/>
    <w:rsid w:val="7FFF2158"/>
    <w:rsid w:val="7FFFEAF7"/>
    <w:rsid w:val="A3DF1BCE"/>
    <w:rsid w:val="AAB2786A"/>
    <w:rsid w:val="ABF7C11E"/>
    <w:rsid w:val="AFB12CB3"/>
    <w:rsid w:val="AFB9C35F"/>
    <w:rsid w:val="B5B36ECE"/>
    <w:rsid w:val="BD3B05A9"/>
    <w:rsid w:val="BDFFCDCA"/>
    <w:rsid w:val="DBEDDD8D"/>
    <w:rsid w:val="EBCF4554"/>
    <w:rsid w:val="F2FF26E2"/>
    <w:rsid w:val="F4EB13CF"/>
    <w:rsid w:val="F7A077C0"/>
    <w:rsid w:val="F7BF9082"/>
    <w:rsid w:val="F9FF6D03"/>
    <w:rsid w:val="FCFDC4D8"/>
    <w:rsid w:val="FDB7FF94"/>
    <w:rsid w:val="FE7B6628"/>
    <w:rsid w:val="FF5D6055"/>
    <w:rsid w:val="FFFB69F2"/>
    <w:rsid w:val="FFFE9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rFonts w:ascii="Calibri" w:hAnsi="Calibri" w:eastAsia="宋体" w:cs="Times New Roman"/>
      <w:kern w:val="2"/>
      <w:sz w:val="18"/>
      <w:szCs w:val="18"/>
    </w:rPr>
  </w:style>
  <w:style w:type="character" w:customStyle="1" w:styleId="8">
    <w:name w:val="页脚 字符"/>
    <w:basedOn w:val="5"/>
    <w:link w:val="2"/>
    <w:qFormat/>
    <w:uiPriority w:val="0"/>
    <w:rPr>
      <w:rFonts w:ascii="Calibri" w:hAnsi="Calibri" w:eastAsia="宋体" w:cs="Times New Roman"/>
      <w:kern w:val="2"/>
      <w:sz w:val="18"/>
      <w:szCs w:val="18"/>
    </w:rPr>
  </w:style>
  <w:style w:type="paragraph" w:customStyle="1" w:styleId="9">
    <w:name w:val="修订1"/>
    <w:hidden/>
    <w:unhideWhenUsed/>
    <w:qFormat/>
    <w:uiPriority w:val="99"/>
    <w:rPr>
      <w:rFonts w:ascii="Calibri" w:hAnsi="Calibri" w:eastAsia="宋体" w:cs="Times New Roman"/>
      <w:kern w:val="2"/>
      <w:sz w:val="21"/>
      <w:szCs w:val="22"/>
      <w:lang w:val="en-US" w:eastAsia="zh-CN" w:bidi="ar-SA"/>
    </w:rPr>
  </w:style>
  <w:style w:type="paragraph" w:customStyle="1" w:styleId="1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745</Characters>
  <Lines>6</Lines>
  <Paragraphs>1</Paragraphs>
  <TotalTime>72</TotalTime>
  <ScaleCrop>false</ScaleCrop>
  <LinksUpToDate>false</LinksUpToDate>
  <CharactersWithSpaces>874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2024-06-17T23:14:00Z</dcterms:created>
  <dc:creator>王雪祺</dc:creator>
  <cp:lastModifiedBy>scjgj</cp:lastModifiedBy>
  <cp:lastPrinted>2024-06-18T15:35:15Z</cp:lastPrinted>
  <dcterms:modified xsi:type="dcterms:W3CDTF">2024-06-18T17:45:49Z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8A7F40BAE77F4AF5EA19C1644D2600F7_43</vt:lpwstr>
  </property>
</Properties>
</file>